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9A530">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FUQ-SMS System Subscriber Management Platform Million-Level Capacity CAS Integration SMS-Based Mobile Charging Digital Headend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Operations</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533775"/>
            <wp:effectExtent l="0" t="0" r="9525" b="9525"/>
            <wp:docPr id="1" name="图片 1" descr="3EEECN_20120723025715"/>
            <wp:cNvGraphicFramePr/>
            <a:graphic xmlns:a="http://schemas.openxmlformats.org/drawingml/2006/main">
              <a:graphicData uri="http://schemas.openxmlformats.org/drawingml/2006/picture">
                <pic:pic xmlns:pic="http://schemas.openxmlformats.org/drawingml/2006/picture">
                  <pic:nvPicPr>
                    <pic:cNvPr id="1" name="图片 1" descr="3EEECN_20120723025715"/>
                    <pic:cNvPicPr/>
                  </pic:nvPicPr>
                  <pic:blipFill>
                    <a:blip r:embed="rId6"/>
                    <a:stretch>
                      <a:fillRect/>
                    </a:stretch>
                  </pic:blipFill>
                  <pic:spPr>
                    <a:xfrm>
                      <a:off x="0" y="0"/>
                      <a:ext cx="6181725" cy="3533775"/>
                    </a:xfrm>
                    <a:prstGeom prst="rect">
                      <a:avLst/>
                    </a:prstGeom>
                  </pic:spPr>
                </pic:pic>
              </a:graphicData>
            </a:graphic>
          </wp:inline>
        </w:drawing>
      </w:r>
      <w:r>
        <w:rPr>
          <w:rStyle w:val="10"/>
          <w:rFonts w:ascii="Verdana" w:hAnsi="Verdana" w:cs="Verdana"/>
          <w:i w:val="0"/>
          <w:iCs w:val="0"/>
          <w:caps w:val="0"/>
          <w:color w:val="333333"/>
          <w:spacing w:val="0"/>
          <w:sz w:val="18"/>
          <w:szCs w:val="18"/>
          <w:shd w:val="clear" w:fill="FEFCFD"/>
        </w:rPr>
        <w:t>Product Overview</w:t>
      </w:r>
    </w:p>
    <w:p w14:paraId="6CA1C647">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FUQ-SMS System is a scalable subscriber management platform supporting million-level users with CAS-compatible interfaces. It processes entitlement data via batch distribution and enables SMS-based mobile charging. The system adopts modular C/S architecture for flexible deployment across IP networks. Ideal for digital TV operators requiring high-capacity user management and pay-per-view service providers needing multi-payment integration.</w:t>
      </w:r>
      <w:r>
        <w:rPr>
          <w:rFonts w:ascii="Verdana" w:hAnsi="Verdana" w:cs="Verdana"/>
          <w:color w:val="333333"/>
          <w:sz w:val="18"/>
          <w:szCs w:val="18"/>
          <w:shd w:val="clear" w:color="auto" w:fill="FEFCFD"/>
        </w:rPr>
        <w:t> </w:t>
      </w:r>
    </w:p>
    <w:p w14:paraId="17454FA0">
      <w:pPr>
        <w:pStyle w:val="6"/>
        <w:widowControl/>
        <w:spacing w:beforeAutospacing="0" w:afterAutospacing="0" w:line="324" w:lineRule="atLeast"/>
      </w:pPr>
      <w:r>
        <w:rPr>
          <w:rStyle w:val="10"/>
          <w:rFonts w:ascii="Verdana" w:hAnsi="Verdana" w:cs="Verdana"/>
          <w:color w:val="333333"/>
          <w:szCs w:val="24"/>
          <w:shd w:val="clear" w:color="auto" w:fill="FEFCFD"/>
        </w:rPr>
        <w:t>Solution Guide</w:t>
      </w:r>
    </w:p>
    <w:p w14:paraId="494B8D5D">
      <w:pPr>
        <w:pStyle w:val="6"/>
        <w:widowControl/>
        <w:spacing w:beforeAutospacing="0" w:afterAutospacing="0" w:line="324" w:lineRule="atLeast"/>
      </w:pPr>
      <w:r>
        <w:rPr>
          <w:rFonts w:ascii="Verdana" w:hAnsi="Verdana" w:cs="Verdana"/>
          <w:color w:val="333333"/>
          <w:sz w:val="18"/>
          <w:szCs w:val="18"/>
          <w:shd w:val="clear" w:color="auto" w:fill="FEFCFD"/>
        </w:rPr>
        <w:t> </w:t>
      </w:r>
    </w:p>
    <w:p w14:paraId="2975D128">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6179185" cy="2686685"/>
            <wp:effectExtent l="0" t="0" r="12065" b="1841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9185" cy="2686685"/>
                    </a:xfrm>
                    <a:prstGeom prst="rect">
                      <a:avLst/>
                    </a:prstGeom>
                    <a:noFill/>
                    <a:ln w="9525">
                      <a:noFill/>
                    </a:ln>
                  </pic:spPr>
                </pic:pic>
              </a:graphicData>
            </a:graphic>
          </wp:inline>
        </w:drawing>
      </w:r>
    </w:p>
    <w:p w14:paraId="278C621E">
      <w:pPr>
        <w:pStyle w:val="6"/>
        <w:widowControl/>
        <w:spacing w:beforeAutospacing="0" w:afterAutospacing="0" w:line="324" w:lineRule="atLeast"/>
      </w:pPr>
      <w:r>
        <w:rPr>
          <w:rFonts w:ascii="Verdana" w:hAnsi="Verdana" w:cs="Verdana"/>
          <w:color w:val="333333"/>
          <w:sz w:val="18"/>
          <w:szCs w:val="18"/>
          <w:shd w:val="clear" w:color="auto" w:fill="FEFCFD"/>
        </w:rPr>
        <w:t> </w:t>
      </w:r>
    </w:p>
    <w:p w14:paraId="1D9CC0A5">
      <w:pPr>
        <w:pStyle w:val="6"/>
        <w:widowControl/>
        <w:spacing w:beforeAutospacing="0" w:afterAutospacing="0" w:line="324" w:lineRule="atLeast"/>
      </w:pPr>
      <w:r>
        <w:rPr>
          <w:rStyle w:val="10"/>
          <w:rFonts w:hint="eastAsia" w:ascii="Verdana" w:hAnsi="Verdana" w:cs="Verdana"/>
          <w:color w:val="333333"/>
          <w:szCs w:val="24"/>
          <w:shd w:val="clear" w:color="auto" w:fill="FEFCFD"/>
          <w:lang w:eastAsia="zh-CN"/>
        </w:rPr>
        <w:t>Key feature</w:t>
      </w:r>
    </w:p>
    <w:p w14:paraId="1A3CA967">
      <w:pPr>
        <w:pStyle w:val="6"/>
        <w:widowControl/>
        <w:spacing w:beforeAutospacing="0" w:afterAutospacing="0" w:line="324" w:lineRule="atLeast"/>
      </w:pPr>
      <w:r>
        <w:rPr>
          <w:rFonts w:hint="eastAsia" w:ascii="Verdana" w:hAnsi="Verdana" w:cs="Verdana"/>
          <w:color w:val="333333"/>
          <w:sz w:val="18"/>
          <w:szCs w:val="18"/>
          <w:shd w:val="clear" w:color="auto" w:fill="FEFCFD"/>
        </w:rPr>
        <w:t>API integration with SMS gateways and billing systems</w:t>
      </w:r>
    </w:p>
    <w:p w14:paraId="11E2CAF2">
      <w:pPr>
        <w:rPr>
          <w:rFonts w:ascii="Verdana" w:hAnsi="Verdana" w:cs="Verdana"/>
          <w:color w:val="000000"/>
          <w:sz w:val="28"/>
        </w:rPr>
      </w:pPr>
    </w:p>
    <w:p w14:paraId="2F0BD401">
      <w:pPr>
        <w:rPr>
          <w:rFonts w:ascii="Verdana" w:hAnsi="Verdana" w:cs="Verdana"/>
          <w:b/>
          <w:color w:val="000000"/>
          <w:sz w:val="22"/>
        </w:rPr>
      </w:pPr>
      <w:r>
        <w:rPr>
          <w:rFonts w:hint="eastAsia" w:ascii="Verdana" w:hAnsi="Verdana" w:cs="Verdana"/>
          <w:b/>
          <w:color w:val="000000"/>
          <w:sz w:val="22"/>
        </w:rPr>
        <w:t>About Us</w:t>
      </w:r>
    </w:p>
    <w:p w14:paraId="2E5E934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6DA296F">
      <w:pPr>
        <w:rPr>
          <w:rFonts w:ascii="Verdana" w:hAnsi="Verdana" w:cs="Verdana"/>
          <w:color w:val="000000"/>
          <w:sz w:val="18"/>
        </w:rPr>
      </w:pPr>
    </w:p>
    <w:p w14:paraId="5E8583B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7FD9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C726A1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8A01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70064"/>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47948"/>
    <w:rsid w:val="00B539FF"/>
    <w:rsid w:val="00B56E04"/>
    <w:rsid w:val="00BD4043"/>
    <w:rsid w:val="00C07628"/>
    <w:rsid w:val="00C44FAF"/>
    <w:rsid w:val="00D24477"/>
    <w:rsid w:val="00DD23FB"/>
    <w:rsid w:val="00F268A0"/>
    <w:rsid w:val="00F714FF"/>
    <w:rsid w:val="00F7593F"/>
    <w:rsid w:val="00FC60FC"/>
    <w:rsid w:val="033D434A"/>
    <w:rsid w:val="0A152510"/>
    <w:rsid w:val="0A680B1B"/>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D8878EA"/>
    <w:rsid w:val="2E0F6BE8"/>
    <w:rsid w:val="314F3E41"/>
    <w:rsid w:val="3B533162"/>
    <w:rsid w:val="44DF28A3"/>
    <w:rsid w:val="45872050"/>
    <w:rsid w:val="478E224E"/>
    <w:rsid w:val="485E04E5"/>
    <w:rsid w:val="487316FE"/>
    <w:rsid w:val="49B75FAC"/>
    <w:rsid w:val="4E4A4BF6"/>
    <w:rsid w:val="4F8D25ED"/>
    <w:rsid w:val="51AD130D"/>
    <w:rsid w:val="51FA5C88"/>
    <w:rsid w:val="540A3FAB"/>
    <w:rsid w:val="562E484B"/>
    <w:rsid w:val="56834992"/>
    <w:rsid w:val="57BB6082"/>
    <w:rsid w:val="5930748A"/>
    <w:rsid w:val="59933671"/>
    <w:rsid w:val="59CF554F"/>
    <w:rsid w:val="5AA83521"/>
    <w:rsid w:val="5C8D56FB"/>
    <w:rsid w:val="5EEA5249"/>
    <w:rsid w:val="609213A6"/>
    <w:rsid w:val="61BA6334"/>
    <w:rsid w:val="62CC7F47"/>
    <w:rsid w:val="63C27F07"/>
    <w:rsid w:val="68AD6386"/>
    <w:rsid w:val="6D7A6503"/>
    <w:rsid w:val="70757613"/>
    <w:rsid w:val="70B756B4"/>
    <w:rsid w:val="72083FB5"/>
    <w:rsid w:val="73270F88"/>
    <w:rsid w:val="74455F31"/>
    <w:rsid w:val="7540100C"/>
    <w:rsid w:val="77935A18"/>
    <w:rsid w:val="7ABE59C4"/>
    <w:rsid w:val="7B8E7427"/>
    <w:rsid w:val="7CA3680F"/>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Software/SMS/3EEECN_2012072306552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144</Words>
  <Characters>963</Characters>
  <Lines>13</Lines>
  <Paragraphs>3</Paragraphs>
  <TotalTime>0</TotalTime>
  <ScaleCrop>false</ScaleCrop>
  <LinksUpToDate>false</LinksUpToDate>
  <CharactersWithSpaces>1110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2025-08-20T07:56:00Z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