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F7078">
      <w:pPr>
        <w:pStyle w:val="6"/>
        <w:widowControl/>
        <w:shd w:val="clear" w:color="auto" w:fill="FEFCFD"/>
        <w:spacing w:beforeAutospacing="0" w:afterAutospacing="0"/>
        <w:jc w:val="center"/>
        <w:rPr>
          <w:rFonts w:ascii="Verdana" w:hAnsi="Verdana" w:cs="Verdana"/>
          <w:color w:val="333333"/>
          <w:sz w:val="18"/>
          <w:szCs w:val="18"/>
        </w:rPr>
      </w:pPr>
      <w:r>
        <w:rPr>
          <w:rFonts w:hint="eastAsia" w:ascii="Verdana" w:hAnsi="Verdana" w:cs="Verdana"/>
          <w:b/>
          <w:i w:val="0"/>
          <w:strike w:val="0"/>
          <w:color w:val="000000"/>
          <w:sz w:val="22"/>
          <w:lang w:eastAsia="zh-CN"/>
        </w:rPr>
        <w:t>FMUSER FUQ-XQR Professional TS Player USB 2.0 Input DVB-ASI-BNC Output 108Mbps DVB-Compliant HDTV-SDTV Signal Generator for DTV Equipment Testing and</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Development </w:t>
      </w:r>
      <w:r>
        <w:rPr>
          <w:rFonts w:hint="eastAsia" w:ascii="Verdana" w:hAnsi="Verdana" w:cs="Verdana"/>
          <w:b/>
          <w:i w:val="0"/>
          <w:strike w:val="0"/>
          <w:color w:val="000000"/>
          <w:sz w:val="22"/>
          <w:lang w:val="en-US" w:eastAsia="zh-CN"/>
        </w:rPr>
        <w:t xml:space="preserve">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31227031642"/>
            <wp:cNvGraphicFramePr/>
            <a:graphic xmlns:a="http://schemas.openxmlformats.org/drawingml/2006/main">
              <a:graphicData uri="http://schemas.openxmlformats.org/drawingml/2006/picture">
                <pic:pic xmlns:pic="http://schemas.openxmlformats.org/drawingml/2006/picture">
                  <pic:nvPicPr>
                    <pic:cNvPr id="1" name="图片 1" descr="3EEECN_20131227031642"/>
                    <pic:cNvPicPr/>
                  </pic:nvPicPr>
                  <pic:blipFill>
                    <a:blip r:embed="rId6"/>
                    <a:stretch>
                      <a:fillRect/>
                    </a:stretch>
                  </pic:blipFill>
                  <pic:spPr>
                    <a:xfrm>
                      <a:off x="0" y="0"/>
                      <a:ext cx="6181725" cy="3400425"/>
                    </a:xfrm>
                    <a:prstGeom prst="rect">
                      <a:avLst/>
                    </a:prstGeom>
                  </pic:spPr>
                </pic:pic>
              </a:graphicData>
            </a:graphic>
          </wp:inline>
        </w:drawing>
      </w:r>
      <w:bookmarkEnd w:id="0"/>
    </w:p>
    <w:p w14:paraId="6FCDF01B">
      <w:pPr>
        <w:pStyle w:val="6"/>
        <w:widowControl/>
        <w:shd w:val="clear" w:color="auto" w:fill="FEFCFD"/>
        <w:spacing w:beforeAutospacing="0" w:afterAutospacing="0"/>
        <w:rPr>
          <w:rFonts w:ascii="Verdana" w:hAnsi="Verdana" w:cs="Verdana"/>
          <w:color w:val="333333"/>
          <w:sz w:val="18"/>
          <w:szCs w:val="18"/>
        </w:rPr>
      </w:pPr>
      <w:r>
        <w:rPr>
          <w:rStyle w:val="10"/>
          <w:rFonts w:hint="eastAsia" w:ascii="Verdana" w:hAnsi="Verdana" w:cs="Verdana"/>
          <w:color w:val="333333"/>
          <w:szCs w:val="24"/>
          <w:shd w:val="clear" w:color="auto" w:fill="FEFCFD"/>
          <w:lang w:eastAsia="zh-CN"/>
        </w:rPr>
        <w:t>Product overview</w:t>
      </w:r>
      <w:r>
        <w:rPr>
          <w:rStyle w:val="10"/>
          <w:rFonts w:ascii="Verdana" w:hAnsi="Verdana" w:cs="Verdana"/>
          <w:color w:val="333333"/>
          <w:szCs w:val="24"/>
          <w:shd w:val="clear" w:color="auto" w:fill="FEFCFD"/>
        </w:rPr>
        <w:t>:</w:t>
      </w:r>
    </w:p>
    <w:p w14:paraId="0A8ED980">
      <w:pPr>
        <w:pStyle w:val="6"/>
        <w:widowControl/>
        <w:shd w:val="clear" w:color="auto" w:fill="FEFCFD"/>
        <w:spacing w:beforeAutospacing="0" w:afterAutospacing="0"/>
        <w:rPr>
          <w:rFonts w:ascii="Verdana" w:hAnsi="Verdana" w:cs="Verdana"/>
          <w:color w:val="333333"/>
          <w:sz w:val="18"/>
          <w:szCs w:val="18"/>
        </w:rPr>
      </w:pPr>
      <w:r>
        <w:rPr>
          <w:rFonts w:hint="eastAsia" w:ascii="Verdana" w:hAnsi="Verdana" w:cs="Verdana"/>
          <w:color w:val="333333"/>
          <w:sz w:val="18"/>
          <w:szCs w:val="18"/>
          <w:shd w:val="clear" w:color="auto" w:fill="FEFCFD"/>
          <w:lang w:eastAsia="zh-CN"/>
        </w:rPr>
        <w:t>The FUQ-XQR Transport Stream Player provides DVB-standard TS file playback through USB 2.0 input and DVB-ASI/BNC output. It processes 188-byte packet Transport Streams at 108Mbps for HD/SD signal generation. Built with P4-2.0G CPU and 256MB DDR memory, this 1U rack-mount unit supports MPEG-2/MPEG-4/H.264 standards. Ideal for broadcast equipment R&amp;D validation, manufacturing line testing, and digital headend system demonstrations.</w:t>
      </w:r>
      <w:r>
        <w:rPr>
          <w:rFonts w:ascii="Verdana" w:hAnsi="Verdana" w:cs="Verdana"/>
          <w:color w:val="333333"/>
          <w:sz w:val="18"/>
          <w:szCs w:val="18"/>
          <w:shd w:val="clear" w:color="auto" w:fill="FEFCFD"/>
        </w:rPr>
        <w:t> </w:t>
      </w:r>
    </w:p>
    <w:p w14:paraId="770FD5D2">
      <w:pPr>
        <w:pStyle w:val="6"/>
        <w:widowControl/>
        <w:shd w:val="clear" w:color="auto" w:fill="FEFCFD"/>
        <w:spacing w:beforeAutospacing="0" w:afterAutospacing="0"/>
        <w:rPr>
          <w:rFonts w:ascii="Verdana" w:hAnsi="Verdana" w:cs="Verdana"/>
          <w:color w:val="333333"/>
          <w:sz w:val="18"/>
          <w:szCs w:val="18"/>
        </w:rPr>
      </w:pPr>
      <w:r>
        <w:rPr>
          <w:rStyle w:val="10"/>
          <w:rFonts w:hint="eastAsia" w:ascii="Verdana" w:hAnsi="Verdana" w:cs="Verdana"/>
          <w:color w:val="333333"/>
          <w:szCs w:val="24"/>
          <w:shd w:val="clear" w:color="auto" w:fill="FEFCFD"/>
          <w:lang w:eastAsia="zh-CN"/>
        </w:rPr>
        <w:t>Key feature</w:t>
      </w:r>
      <w:r>
        <w:rPr>
          <w:rStyle w:val="10"/>
          <w:rFonts w:ascii="Verdana" w:hAnsi="Verdana" w:cs="Verdana"/>
          <w:color w:val="333333"/>
          <w:szCs w:val="24"/>
          <w:shd w:val="clear" w:color="auto" w:fill="FEFCFD"/>
        </w:rPr>
        <w:t>: </w:t>
      </w:r>
    </w:p>
    <w:p w14:paraId="7F64998B">
      <w:pPr>
        <w:pStyle w:val="6"/>
        <w:widowControl/>
        <w:shd w:val="clear" w:color="auto" w:fill="FEFCFD"/>
        <w:spacing w:beforeAutospacing="0" w:afterAutospacing="0"/>
        <w:rPr>
          <w:rFonts w:ascii="Verdana" w:hAnsi="Verdana" w:cs="Verdana"/>
          <w:color w:val="333333"/>
          <w:sz w:val="18"/>
          <w:szCs w:val="18"/>
        </w:rPr>
      </w:pPr>
      <w:r>
        <w:rPr>
          <w:rFonts w:hint="eastAsia" w:ascii="Verdana" w:hAnsi="Verdana" w:cs="Verdana"/>
          <w:color w:val="333333"/>
          <w:sz w:val="18"/>
          <w:szCs w:val="18"/>
          <w:shd w:val="clear" w:color="auto" w:fill="FEFCFD"/>
        </w:rPr>
        <w:t>Engineering-grade stability: P4-2.0G CPU sustains 108Mbps continuous throughput</w:t>
      </w:r>
      <w:r>
        <w:rPr>
          <w:rFonts w:ascii="Verdana" w:hAnsi="Verdana" w:cs="Verdana"/>
          <w:color w:val="333333"/>
          <w:sz w:val="18"/>
          <w:szCs w:val="18"/>
          <w:shd w:val="clear" w:color="auto" w:fill="FEFCFD"/>
        </w:rPr>
        <w:t> </w:t>
      </w:r>
    </w:p>
    <w:p w14:paraId="53CE6E1C">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Cs w:val="24"/>
          <w:shd w:val="clear" w:color="auto" w:fill="FEFCFD"/>
        </w:rPr>
        <w:t>Technical Specs:</w:t>
      </w:r>
    </w:p>
    <w:p w14:paraId="0C1C54F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tbl>
      <w:tblPr>
        <w:tblStyle w:val="7"/>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Layout w:type="autofit"/>
        <w:tblCellMar>
          <w:top w:w="0" w:type="dxa"/>
          <w:left w:w="0" w:type="dxa"/>
          <w:bottom w:w="0" w:type="dxa"/>
          <w:right w:w="0" w:type="dxa"/>
        </w:tblCellMar>
      </w:tblPr>
      <w:tblGrid>
        <w:gridCol w:w="2910"/>
        <w:gridCol w:w="5010"/>
      </w:tblGrid>
      <w:tr w14:paraId="322547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0" w:type="dxa"/>
            <w:left w:w="0" w:type="dxa"/>
            <w:bottom w:w="0" w:type="dxa"/>
            <w:right w:w="0" w:type="dxa"/>
          </w:tblCellMar>
        </w:tblPrEx>
        <w:trPr>
          <w:tblCellSpacing w:w="0" w:type="dxa"/>
        </w:trPr>
        <w:tc>
          <w:tcPr>
            <w:tcW w:w="2910" w:type="dxa"/>
            <w:vMerge w:val="restart"/>
            <w:shd w:val="clear" w:color="auto" w:fill="FEFCFD"/>
            <w:vAlign w:val="center"/>
          </w:tcPr>
          <w:p w14:paraId="7821B461">
            <w:pPr>
              <w:pStyle w:val="6"/>
              <w:widowControl/>
              <w:spacing w:beforeAutospacing="0" w:afterAutospacing="0" w:line="324" w:lineRule="atLeast"/>
            </w:pPr>
            <w:r>
              <w:rPr>
                <w:rStyle w:val="10"/>
                <w:rFonts w:ascii="Verdana" w:hAnsi="Verdana" w:cs="Verdana"/>
                <w:color w:val="333333"/>
                <w:sz w:val="18"/>
                <w:szCs w:val="18"/>
              </w:rPr>
              <w:t>Interfaces</w:t>
            </w:r>
          </w:p>
        </w:tc>
        <w:tc>
          <w:tcPr>
            <w:tcW w:w="5010" w:type="dxa"/>
            <w:shd w:val="clear" w:color="auto" w:fill="FEFCFD"/>
            <w:vAlign w:val="center"/>
          </w:tcPr>
          <w:p w14:paraId="1093A3AF">
            <w:pPr>
              <w:pStyle w:val="6"/>
              <w:widowControl/>
              <w:spacing w:beforeAutospacing="0" w:afterAutospacing="0" w:line="324" w:lineRule="atLeast"/>
            </w:pPr>
            <w:r>
              <w:rPr>
                <w:rFonts w:ascii="Verdana" w:hAnsi="Verdana" w:cs="Verdana"/>
                <w:color w:val="333333"/>
                <w:sz w:val="18"/>
                <w:szCs w:val="18"/>
              </w:rPr>
              <w:t>INPUT: USB2.0</w:t>
            </w:r>
          </w:p>
        </w:tc>
      </w:tr>
      <w:tr w14:paraId="34FE71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0" w:type="dxa"/>
            <w:left w:w="0" w:type="dxa"/>
            <w:bottom w:w="0" w:type="dxa"/>
            <w:right w:w="0" w:type="dxa"/>
          </w:tblCellMar>
        </w:tblPrEx>
        <w:trPr>
          <w:tblCellSpacing w:w="0" w:type="dxa"/>
        </w:trPr>
        <w:tc>
          <w:tcPr>
            <w:tcW w:w="2910" w:type="dxa"/>
            <w:vMerge w:val="continue"/>
            <w:shd w:val="clear" w:color="auto" w:fill="FEFCFD"/>
            <w:vAlign w:val="center"/>
          </w:tcPr>
          <w:p w14:paraId="71B69BBF">
            <w:pPr>
              <w:jc w:val="left"/>
              <w:rPr>
                <w:rFonts w:ascii="Verdana" w:hAnsi="Verdana" w:cs="Verdana"/>
                <w:color w:val="333333"/>
                <w:sz w:val="18"/>
                <w:szCs w:val="18"/>
              </w:rPr>
            </w:pPr>
          </w:p>
        </w:tc>
        <w:tc>
          <w:tcPr>
            <w:tcW w:w="5010" w:type="dxa"/>
            <w:shd w:val="clear" w:color="auto" w:fill="FEFCFD"/>
            <w:vAlign w:val="center"/>
          </w:tcPr>
          <w:p w14:paraId="4529A1DD">
            <w:pPr>
              <w:pStyle w:val="6"/>
              <w:widowControl/>
              <w:spacing w:beforeAutospacing="0" w:afterAutospacing="0" w:line="324" w:lineRule="atLeast"/>
            </w:pPr>
            <w:r>
              <w:rPr>
                <w:rFonts w:ascii="Verdana" w:hAnsi="Verdana" w:cs="Verdana"/>
                <w:color w:val="333333"/>
                <w:sz w:val="18"/>
                <w:szCs w:val="18"/>
              </w:rPr>
              <w:t>OUTPUT: DVB ASI , BNC</w:t>
            </w:r>
          </w:p>
        </w:tc>
      </w:tr>
      <w:tr w14:paraId="63C2A4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910" w:type="dxa"/>
            <w:shd w:val="clear" w:color="auto" w:fill="FEFCFD"/>
            <w:vAlign w:val="center"/>
          </w:tcPr>
          <w:p w14:paraId="68C04D52">
            <w:pPr>
              <w:pStyle w:val="6"/>
              <w:widowControl/>
              <w:spacing w:beforeAutospacing="0" w:afterAutospacing="0" w:line="324" w:lineRule="atLeast"/>
            </w:pPr>
            <w:r>
              <w:rPr>
                <w:rStyle w:val="10"/>
                <w:rFonts w:ascii="Verdana" w:hAnsi="Verdana" w:cs="Verdana"/>
                <w:color w:val="333333"/>
                <w:sz w:val="18"/>
                <w:szCs w:val="18"/>
              </w:rPr>
              <w:t>Packet Size</w:t>
            </w:r>
          </w:p>
        </w:tc>
        <w:tc>
          <w:tcPr>
            <w:tcW w:w="5010" w:type="dxa"/>
            <w:shd w:val="clear" w:color="auto" w:fill="FEFCFD"/>
            <w:vAlign w:val="center"/>
          </w:tcPr>
          <w:p w14:paraId="30F66D14">
            <w:pPr>
              <w:pStyle w:val="6"/>
              <w:widowControl/>
              <w:spacing w:beforeAutospacing="0" w:afterAutospacing="0" w:line="324" w:lineRule="atLeast"/>
            </w:pPr>
            <w:r>
              <w:rPr>
                <w:rFonts w:ascii="Verdana" w:hAnsi="Verdana" w:cs="Verdana"/>
                <w:color w:val="333333"/>
                <w:sz w:val="18"/>
                <w:szCs w:val="18"/>
              </w:rPr>
              <w:t>188 bytes</w:t>
            </w:r>
          </w:p>
        </w:tc>
      </w:tr>
      <w:tr w14:paraId="194692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0" w:type="dxa"/>
            <w:left w:w="0" w:type="dxa"/>
            <w:bottom w:w="0" w:type="dxa"/>
            <w:right w:w="0" w:type="dxa"/>
          </w:tblCellMar>
        </w:tblPrEx>
        <w:trPr>
          <w:tblCellSpacing w:w="0" w:type="dxa"/>
        </w:trPr>
        <w:tc>
          <w:tcPr>
            <w:tcW w:w="2910" w:type="dxa"/>
            <w:vMerge w:val="restart"/>
            <w:shd w:val="clear" w:color="auto" w:fill="FEFCFD"/>
            <w:vAlign w:val="center"/>
          </w:tcPr>
          <w:p w14:paraId="6E545A88">
            <w:pPr>
              <w:pStyle w:val="6"/>
              <w:widowControl/>
              <w:spacing w:beforeAutospacing="0" w:afterAutospacing="0" w:line="324" w:lineRule="atLeast"/>
            </w:pPr>
            <w:r>
              <w:rPr>
                <w:rStyle w:val="10"/>
                <w:rFonts w:ascii="Verdana" w:hAnsi="Verdana" w:cs="Verdana"/>
                <w:color w:val="333333"/>
                <w:sz w:val="18"/>
                <w:szCs w:val="18"/>
              </w:rPr>
              <w:t>System Configurations</w:t>
            </w:r>
          </w:p>
        </w:tc>
        <w:tc>
          <w:tcPr>
            <w:tcW w:w="5010" w:type="dxa"/>
            <w:shd w:val="clear" w:color="auto" w:fill="FEFCFD"/>
            <w:vAlign w:val="center"/>
          </w:tcPr>
          <w:p w14:paraId="2AEA8217">
            <w:pPr>
              <w:pStyle w:val="6"/>
              <w:widowControl/>
              <w:spacing w:beforeAutospacing="0" w:afterAutospacing="0" w:line="324" w:lineRule="atLeast"/>
            </w:pPr>
            <w:r>
              <w:rPr>
                <w:rFonts w:ascii="Verdana" w:hAnsi="Verdana" w:cs="Verdana"/>
                <w:color w:val="333333"/>
                <w:sz w:val="18"/>
                <w:szCs w:val="18"/>
              </w:rPr>
              <w:t>OS: Windows 2000/XP Professional</w:t>
            </w:r>
          </w:p>
        </w:tc>
      </w:tr>
      <w:tr w14:paraId="42A7F7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910" w:type="dxa"/>
            <w:vMerge w:val="continue"/>
            <w:shd w:val="clear" w:color="auto" w:fill="FEFCFD"/>
            <w:vAlign w:val="center"/>
          </w:tcPr>
          <w:p w14:paraId="3F865D72">
            <w:pPr>
              <w:jc w:val="left"/>
              <w:rPr>
                <w:rFonts w:ascii="Verdana" w:hAnsi="Verdana" w:cs="Verdana"/>
                <w:color w:val="333333"/>
                <w:sz w:val="18"/>
                <w:szCs w:val="18"/>
              </w:rPr>
            </w:pPr>
          </w:p>
        </w:tc>
        <w:tc>
          <w:tcPr>
            <w:tcW w:w="5010" w:type="dxa"/>
            <w:shd w:val="clear" w:color="auto" w:fill="FEFCFD"/>
            <w:vAlign w:val="center"/>
          </w:tcPr>
          <w:p w14:paraId="331067ED">
            <w:pPr>
              <w:pStyle w:val="6"/>
              <w:widowControl/>
              <w:spacing w:beforeAutospacing="0" w:afterAutospacing="0" w:line="324" w:lineRule="atLeast"/>
            </w:pPr>
            <w:r>
              <w:rPr>
                <w:rFonts w:ascii="Verdana" w:hAnsi="Verdana" w:cs="Verdana"/>
                <w:color w:val="333333"/>
                <w:sz w:val="18"/>
                <w:szCs w:val="18"/>
              </w:rPr>
              <w:t>CPU: P4-2.0G</w:t>
            </w:r>
          </w:p>
        </w:tc>
      </w:tr>
      <w:tr w14:paraId="1CF67D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0" w:type="dxa"/>
            <w:left w:w="0" w:type="dxa"/>
            <w:bottom w:w="0" w:type="dxa"/>
            <w:right w:w="0" w:type="dxa"/>
          </w:tblCellMar>
        </w:tblPrEx>
        <w:trPr>
          <w:tblCellSpacing w:w="0" w:type="dxa"/>
        </w:trPr>
        <w:tc>
          <w:tcPr>
            <w:tcW w:w="2910" w:type="dxa"/>
            <w:vMerge w:val="continue"/>
            <w:shd w:val="clear" w:color="auto" w:fill="FEFCFD"/>
            <w:vAlign w:val="center"/>
          </w:tcPr>
          <w:p w14:paraId="3F19985A">
            <w:pPr>
              <w:jc w:val="left"/>
              <w:rPr>
                <w:rFonts w:ascii="Verdana" w:hAnsi="Verdana" w:cs="Verdana"/>
                <w:color w:val="333333"/>
                <w:sz w:val="18"/>
                <w:szCs w:val="18"/>
              </w:rPr>
            </w:pPr>
          </w:p>
        </w:tc>
        <w:tc>
          <w:tcPr>
            <w:tcW w:w="5010" w:type="dxa"/>
            <w:shd w:val="clear" w:color="auto" w:fill="FEFCFD"/>
            <w:vAlign w:val="center"/>
          </w:tcPr>
          <w:p w14:paraId="77837DC5">
            <w:pPr>
              <w:pStyle w:val="6"/>
              <w:widowControl/>
              <w:spacing w:beforeAutospacing="0" w:afterAutospacing="0" w:line="324" w:lineRule="atLeast"/>
            </w:pPr>
            <w:r>
              <w:rPr>
                <w:rFonts w:ascii="Verdana" w:hAnsi="Verdana" w:cs="Verdana"/>
                <w:color w:val="333333"/>
                <w:sz w:val="18"/>
                <w:szCs w:val="18"/>
              </w:rPr>
              <w:t>Memory: 256M DDR</w:t>
            </w:r>
          </w:p>
        </w:tc>
      </w:tr>
      <w:tr w14:paraId="543D25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0" w:type="dxa"/>
            <w:left w:w="0" w:type="dxa"/>
            <w:bottom w:w="0" w:type="dxa"/>
            <w:right w:w="0" w:type="dxa"/>
          </w:tblCellMar>
        </w:tblPrEx>
        <w:trPr>
          <w:tblCellSpacing w:w="0" w:type="dxa"/>
        </w:trPr>
        <w:tc>
          <w:tcPr>
            <w:tcW w:w="2910" w:type="dxa"/>
            <w:vMerge w:val="continue"/>
            <w:shd w:val="clear" w:color="auto" w:fill="FEFCFD"/>
            <w:vAlign w:val="center"/>
          </w:tcPr>
          <w:p w14:paraId="71D9096C">
            <w:pPr>
              <w:jc w:val="left"/>
              <w:rPr>
                <w:rFonts w:ascii="Verdana" w:hAnsi="Verdana" w:cs="Verdana"/>
                <w:color w:val="333333"/>
                <w:sz w:val="18"/>
                <w:szCs w:val="18"/>
              </w:rPr>
            </w:pPr>
          </w:p>
        </w:tc>
        <w:tc>
          <w:tcPr>
            <w:tcW w:w="5010" w:type="dxa"/>
            <w:shd w:val="clear" w:color="auto" w:fill="FEFCFD"/>
            <w:vAlign w:val="center"/>
          </w:tcPr>
          <w:p w14:paraId="58E81349">
            <w:pPr>
              <w:pStyle w:val="6"/>
              <w:widowControl/>
              <w:spacing w:beforeAutospacing="0" w:afterAutospacing="0" w:line="324" w:lineRule="atLeast"/>
            </w:pPr>
            <w:r>
              <w:rPr>
                <w:rFonts w:ascii="Verdana" w:hAnsi="Verdana" w:cs="Verdana"/>
                <w:color w:val="333333"/>
                <w:sz w:val="18"/>
                <w:szCs w:val="18"/>
              </w:rPr>
              <w:t>Storage: 80G WD JB hard disk</w:t>
            </w:r>
          </w:p>
        </w:tc>
      </w:tr>
      <w:tr w14:paraId="2794D3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0" w:type="dxa"/>
            <w:left w:w="0" w:type="dxa"/>
            <w:bottom w:w="0" w:type="dxa"/>
            <w:right w:w="0" w:type="dxa"/>
          </w:tblCellMar>
        </w:tblPrEx>
        <w:trPr>
          <w:tblCellSpacing w:w="0" w:type="dxa"/>
        </w:trPr>
        <w:tc>
          <w:tcPr>
            <w:tcW w:w="2910" w:type="dxa"/>
            <w:vMerge w:val="restart"/>
            <w:shd w:val="clear" w:color="auto" w:fill="FEFCFD"/>
            <w:vAlign w:val="center"/>
          </w:tcPr>
          <w:p w14:paraId="3E688E98">
            <w:pPr>
              <w:pStyle w:val="6"/>
              <w:widowControl/>
              <w:spacing w:beforeAutospacing="0" w:afterAutospacing="0" w:line="324" w:lineRule="atLeast"/>
            </w:pPr>
            <w:r>
              <w:rPr>
                <w:rStyle w:val="10"/>
                <w:rFonts w:ascii="Verdana" w:hAnsi="Verdana" w:cs="Verdana"/>
                <w:color w:val="333333"/>
                <w:sz w:val="18"/>
                <w:szCs w:val="18"/>
              </w:rPr>
              <w:t>Applications</w:t>
            </w:r>
          </w:p>
        </w:tc>
        <w:tc>
          <w:tcPr>
            <w:tcW w:w="5010" w:type="dxa"/>
            <w:shd w:val="clear" w:color="auto" w:fill="FEFCFD"/>
            <w:vAlign w:val="center"/>
          </w:tcPr>
          <w:p w14:paraId="4B04F03F">
            <w:pPr>
              <w:pStyle w:val="6"/>
              <w:widowControl/>
              <w:spacing w:beforeAutospacing="0" w:afterAutospacing="0" w:line="324" w:lineRule="atLeast"/>
            </w:pPr>
            <w:r>
              <w:rPr>
                <w:rFonts w:ascii="Verdana" w:hAnsi="Verdana" w:cs="Verdana"/>
                <w:color w:val="333333"/>
                <w:sz w:val="18"/>
                <w:szCs w:val="18"/>
              </w:rPr>
              <w:t>Signal generator for developing DTV system and equipments</w:t>
            </w:r>
          </w:p>
        </w:tc>
      </w:tr>
      <w:tr w14:paraId="531463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0" w:type="dxa"/>
            <w:left w:w="0" w:type="dxa"/>
            <w:bottom w:w="0" w:type="dxa"/>
            <w:right w:w="0" w:type="dxa"/>
          </w:tblCellMar>
        </w:tblPrEx>
        <w:trPr>
          <w:tblCellSpacing w:w="0" w:type="dxa"/>
        </w:trPr>
        <w:tc>
          <w:tcPr>
            <w:tcW w:w="2910" w:type="dxa"/>
            <w:vMerge w:val="continue"/>
            <w:shd w:val="clear" w:color="auto" w:fill="FEFCFD"/>
            <w:vAlign w:val="center"/>
          </w:tcPr>
          <w:p w14:paraId="600F1370">
            <w:pPr>
              <w:jc w:val="left"/>
              <w:rPr>
                <w:rFonts w:ascii="Verdana" w:hAnsi="Verdana" w:cs="Verdana"/>
                <w:color w:val="333333"/>
                <w:sz w:val="18"/>
                <w:szCs w:val="18"/>
              </w:rPr>
            </w:pPr>
          </w:p>
        </w:tc>
        <w:tc>
          <w:tcPr>
            <w:tcW w:w="5010" w:type="dxa"/>
            <w:shd w:val="clear" w:color="auto" w:fill="FEFCFD"/>
            <w:vAlign w:val="center"/>
          </w:tcPr>
          <w:p w14:paraId="2826FF2C">
            <w:pPr>
              <w:pStyle w:val="6"/>
              <w:widowControl/>
              <w:spacing w:beforeAutospacing="0" w:afterAutospacing="0" w:line="324" w:lineRule="atLeast"/>
            </w:pPr>
            <w:r>
              <w:rPr>
                <w:rFonts w:ascii="Verdana" w:hAnsi="Verdana" w:cs="Verdana"/>
                <w:color w:val="333333"/>
                <w:sz w:val="18"/>
                <w:szCs w:val="18"/>
              </w:rPr>
              <w:t>Signal source for manufacturing of DTV system and equipments</w:t>
            </w:r>
          </w:p>
        </w:tc>
      </w:tr>
      <w:tr w14:paraId="01B32B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910" w:type="dxa"/>
            <w:vMerge w:val="continue"/>
            <w:shd w:val="clear" w:color="auto" w:fill="FEFCFD"/>
            <w:vAlign w:val="center"/>
          </w:tcPr>
          <w:p w14:paraId="7DF59518">
            <w:pPr>
              <w:jc w:val="left"/>
              <w:rPr>
                <w:rFonts w:ascii="Verdana" w:hAnsi="Verdana" w:cs="Verdana"/>
                <w:color w:val="333333"/>
                <w:sz w:val="18"/>
                <w:szCs w:val="18"/>
              </w:rPr>
            </w:pPr>
          </w:p>
        </w:tc>
        <w:tc>
          <w:tcPr>
            <w:tcW w:w="5010" w:type="dxa"/>
            <w:shd w:val="clear" w:color="auto" w:fill="FEFCFD"/>
            <w:vAlign w:val="center"/>
          </w:tcPr>
          <w:p w14:paraId="2B1B80D0">
            <w:pPr>
              <w:pStyle w:val="6"/>
              <w:widowControl/>
              <w:spacing w:beforeAutospacing="0" w:afterAutospacing="0" w:line="324" w:lineRule="atLeast"/>
            </w:pPr>
            <w:r>
              <w:rPr>
                <w:rFonts w:ascii="Verdana" w:hAnsi="Verdana" w:cs="Verdana"/>
                <w:color w:val="333333"/>
                <w:sz w:val="18"/>
                <w:szCs w:val="18"/>
              </w:rPr>
              <w:t>Demo of DTV system and equipment</w:t>
            </w:r>
          </w:p>
        </w:tc>
      </w:tr>
      <w:tr w14:paraId="1E1209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910" w:type="dxa"/>
            <w:vMerge w:val="restart"/>
            <w:shd w:val="clear" w:color="auto" w:fill="FEFCFD"/>
            <w:vAlign w:val="center"/>
          </w:tcPr>
          <w:p w14:paraId="5B2689CB">
            <w:pPr>
              <w:pStyle w:val="6"/>
              <w:widowControl/>
              <w:spacing w:beforeAutospacing="0" w:afterAutospacing="0" w:line="324" w:lineRule="atLeast"/>
            </w:pPr>
            <w:r>
              <w:rPr>
                <w:rStyle w:val="10"/>
                <w:rFonts w:ascii="Verdana" w:hAnsi="Verdana" w:cs="Verdana"/>
                <w:color w:val="333333"/>
                <w:sz w:val="18"/>
                <w:szCs w:val="18"/>
              </w:rPr>
              <w:t>Physical/Environmental</w:t>
            </w:r>
          </w:p>
        </w:tc>
        <w:tc>
          <w:tcPr>
            <w:tcW w:w="5010" w:type="dxa"/>
            <w:shd w:val="clear" w:color="auto" w:fill="FEFCFD"/>
            <w:vAlign w:val="center"/>
          </w:tcPr>
          <w:p w14:paraId="05595BBE">
            <w:pPr>
              <w:pStyle w:val="6"/>
              <w:widowControl/>
              <w:spacing w:beforeAutospacing="0" w:afterAutospacing="0" w:line="324" w:lineRule="atLeast"/>
            </w:pPr>
            <w:r>
              <w:rPr>
                <w:rFonts w:ascii="Verdana" w:hAnsi="Verdana" w:cs="Verdana"/>
                <w:color w:val="333333"/>
                <w:sz w:val="18"/>
                <w:szCs w:val="18"/>
              </w:rPr>
              <w:t>Dimension: 160×114×33 (mm )</w:t>
            </w:r>
          </w:p>
        </w:tc>
      </w:tr>
      <w:tr w14:paraId="44BBF2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0" w:type="dxa"/>
            <w:left w:w="0" w:type="dxa"/>
            <w:bottom w:w="0" w:type="dxa"/>
            <w:right w:w="0" w:type="dxa"/>
          </w:tblCellMar>
        </w:tblPrEx>
        <w:trPr>
          <w:tblCellSpacing w:w="0" w:type="dxa"/>
        </w:trPr>
        <w:tc>
          <w:tcPr>
            <w:tcW w:w="2910" w:type="dxa"/>
            <w:vMerge w:val="continue"/>
            <w:shd w:val="clear" w:color="auto" w:fill="FEFCFD"/>
            <w:vAlign w:val="center"/>
          </w:tcPr>
          <w:p w14:paraId="6045B14A">
            <w:pPr>
              <w:jc w:val="left"/>
              <w:rPr>
                <w:rFonts w:ascii="Verdana" w:hAnsi="Verdana" w:cs="Verdana"/>
                <w:color w:val="333333"/>
                <w:sz w:val="18"/>
                <w:szCs w:val="18"/>
              </w:rPr>
            </w:pPr>
          </w:p>
        </w:tc>
        <w:tc>
          <w:tcPr>
            <w:tcW w:w="5010" w:type="dxa"/>
            <w:shd w:val="clear" w:color="auto" w:fill="FEFCFD"/>
            <w:vAlign w:val="center"/>
          </w:tcPr>
          <w:p w14:paraId="09263300">
            <w:pPr>
              <w:pStyle w:val="6"/>
              <w:widowControl/>
              <w:spacing w:beforeAutospacing="0" w:afterAutospacing="0" w:line="324" w:lineRule="atLeast"/>
            </w:pPr>
            <w:r>
              <w:rPr>
                <w:rFonts w:ascii="Verdana" w:hAnsi="Verdana" w:cs="Verdana"/>
                <w:color w:val="333333"/>
                <w:sz w:val="18"/>
                <w:szCs w:val="18"/>
              </w:rPr>
              <w:t>Weight: 0.5kg</w:t>
            </w:r>
          </w:p>
        </w:tc>
      </w:tr>
      <w:tr w14:paraId="4DA55D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910" w:type="dxa"/>
            <w:vMerge w:val="continue"/>
            <w:shd w:val="clear" w:color="auto" w:fill="FEFCFD"/>
            <w:vAlign w:val="center"/>
          </w:tcPr>
          <w:p w14:paraId="65A16B52">
            <w:pPr>
              <w:jc w:val="left"/>
              <w:rPr>
                <w:rFonts w:ascii="Verdana" w:hAnsi="Verdana" w:cs="Verdana"/>
                <w:color w:val="333333"/>
                <w:sz w:val="18"/>
                <w:szCs w:val="18"/>
              </w:rPr>
            </w:pPr>
          </w:p>
        </w:tc>
        <w:tc>
          <w:tcPr>
            <w:tcW w:w="5010" w:type="dxa"/>
            <w:shd w:val="clear" w:color="auto" w:fill="FEFCFD"/>
            <w:vAlign w:val="center"/>
          </w:tcPr>
          <w:p w14:paraId="04A0D624">
            <w:pPr>
              <w:pStyle w:val="6"/>
              <w:widowControl/>
              <w:spacing w:beforeAutospacing="0" w:afterAutospacing="0" w:line="324" w:lineRule="atLeast"/>
            </w:pPr>
            <w:r>
              <w:rPr>
                <w:rFonts w:ascii="Verdana" w:hAnsi="Verdana" w:cs="Verdana"/>
                <w:color w:val="333333"/>
                <w:sz w:val="18"/>
                <w:szCs w:val="18"/>
              </w:rPr>
              <w:t>Operating temperature: 0℃～+55℃</w:t>
            </w:r>
          </w:p>
        </w:tc>
      </w:tr>
      <w:tr w14:paraId="34093D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0" w:type="dxa"/>
            <w:left w:w="0" w:type="dxa"/>
            <w:bottom w:w="0" w:type="dxa"/>
            <w:right w:w="0" w:type="dxa"/>
          </w:tblCellMar>
        </w:tblPrEx>
        <w:trPr>
          <w:tblCellSpacing w:w="0" w:type="dxa"/>
        </w:trPr>
        <w:tc>
          <w:tcPr>
            <w:tcW w:w="2910" w:type="dxa"/>
            <w:vMerge w:val="continue"/>
            <w:shd w:val="clear" w:color="auto" w:fill="FEFCFD"/>
            <w:vAlign w:val="center"/>
          </w:tcPr>
          <w:p w14:paraId="39846235">
            <w:pPr>
              <w:jc w:val="left"/>
              <w:rPr>
                <w:rFonts w:ascii="Verdana" w:hAnsi="Verdana" w:cs="Verdana"/>
                <w:color w:val="333333"/>
                <w:sz w:val="18"/>
                <w:szCs w:val="18"/>
              </w:rPr>
            </w:pPr>
          </w:p>
        </w:tc>
        <w:tc>
          <w:tcPr>
            <w:tcW w:w="5010" w:type="dxa"/>
            <w:shd w:val="clear" w:color="auto" w:fill="FEFCFD"/>
            <w:vAlign w:val="center"/>
          </w:tcPr>
          <w:p w14:paraId="73C19A41">
            <w:pPr>
              <w:pStyle w:val="6"/>
              <w:widowControl/>
              <w:spacing w:beforeAutospacing="0" w:afterAutospacing="0" w:line="324" w:lineRule="atLeast"/>
            </w:pPr>
            <w:r>
              <w:rPr>
                <w:rFonts w:ascii="Verdana" w:hAnsi="Verdana" w:cs="Verdana"/>
                <w:color w:val="333333"/>
                <w:sz w:val="18"/>
                <w:szCs w:val="18"/>
              </w:rPr>
              <w:t>Operating humidity: 10%～80%</w:t>
            </w:r>
          </w:p>
        </w:tc>
      </w:tr>
    </w:tbl>
    <w:p w14:paraId="7B1458A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163E5DD7">
      <w:pPr>
        <w:rPr>
          <w:rFonts w:ascii="Verdana" w:hAnsi="Verdana" w:cs="Verdana"/>
          <w:color w:val="000000"/>
          <w:sz w:val="28"/>
        </w:rPr>
      </w:pPr>
    </w:p>
    <w:p w14:paraId="33938B78">
      <w:pPr>
        <w:rPr>
          <w:rFonts w:ascii="Verdana" w:hAnsi="Verdana" w:cs="Verdana"/>
          <w:b/>
          <w:color w:val="000000"/>
          <w:sz w:val="22"/>
        </w:rPr>
      </w:pPr>
      <w:r>
        <w:rPr>
          <w:rFonts w:hint="eastAsia" w:ascii="Verdana" w:hAnsi="Verdana" w:cs="Verdana"/>
          <w:b/>
          <w:color w:val="000000"/>
          <w:sz w:val="22"/>
        </w:rPr>
        <w:t>About Us</w:t>
      </w:r>
    </w:p>
    <w:p w14:paraId="5343D29A">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26010BC">
      <w:pPr>
        <w:rPr>
          <w:rFonts w:ascii="Verdana" w:hAnsi="Verdana" w:cs="Verdana"/>
          <w:color w:val="000000"/>
          <w:sz w:val="18"/>
        </w:rPr>
      </w:pPr>
    </w:p>
    <w:p w14:paraId="5C59E49A">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05A4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01406A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11CC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D1CC5"/>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44B47"/>
    <w:rsid w:val="008D6808"/>
    <w:rsid w:val="00952937"/>
    <w:rsid w:val="00A16F8C"/>
    <w:rsid w:val="00A35CEF"/>
    <w:rsid w:val="00AE759F"/>
    <w:rsid w:val="00AF7C10"/>
    <w:rsid w:val="00B11FEF"/>
    <w:rsid w:val="00B4381C"/>
    <w:rsid w:val="00B539FF"/>
    <w:rsid w:val="00B56E04"/>
    <w:rsid w:val="00BD4043"/>
    <w:rsid w:val="00BF5A23"/>
    <w:rsid w:val="00C44FAF"/>
    <w:rsid w:val="00C96529"/>
    <w:rsid w:val="00CB5D6C"/>
    <w:rsid w:val="00D24477"/>
    <w:rsid w:val="00F268A0"/>
    <w:rsid w:val="00F30BDA"/>
    <w:rsid w:val="00F714FF"/>
    <w:rsid w:val="00F7593F"/>
    <w:rsid w:val="00FC60FC"/>
    <w:rsid w:val="01F3730C"/>
    <w:rsid w:val="033D434A"/>
    <w:rsid w:val="0A680B1B"/>
    <w:rsid w:val="0D6036D6"/>
    <w:rsid w:val="0E0148DC"/>
    <w:rsid w:val="0E714EC9"/>
    <w:rsid w:val="0FC87CEA"/>
    <w:rsid w:val="101C4557"/>
    <w:rsid w:val="15C25510"/>
    <w:rsid w:val="18AE427D"/>
    <w:rsid w:val="18E81EA3"/>
    <w:rsid w:val="1B974A15"/>
    <w:rsid w:val="1CDC4CA0"/>
    <w:rsid w:val="1FCC39C5"/>
    <w:rsid w:val="20F61905"/>
    <w:rsid w:val="2199682E"/>
    <w:rsid w:val="239E3C7B"/>
    <w:rsid w:val="27B55639"/>
    <w:rsid w:val="2A752F8B"/>
    <w:rsid w:val="2C665CEA"/>
    <w:rsid w:val="2E0F6BE8"/>
    <w:rsid w:val="314F3E41"/>
    <w:rsid w:val="3390344A"/>
    <w:rsid w:val="3B533162"/>
    <w:rsid w:val="45872050"/>
    <w:rsid w:val="478E224E"/>
    <w:rsid w:val="485E04E5"/>
    <w:rsid w:val="487316FE"/>
    <w:rsid w:val="49B75FAC"/>
    <w:rsid w:val="4E4A4BF6"/>
    <w:rsid w:val="4F36765C"/>
    <w:rsid w:val="4F8D25ED"/>
    <w:rsid w:val="4FD62161"/>
    <w:rsid w:val="51AD130D"/>
    <w:rsid w:val="540A3FAB"/>
    <w:rsid w:val="562E484B"/>
    <w:rsid w:val="56834992"/>
    <w:rsid w:val="5930748A"/>
    <w:rsid w:val="59933671"/>
    <w:rsid w:val="5AA83521"/>
    <w:rsid w:val="5E227EC6"/>
    <w:rsid w:val="5EEA5249"/>
    <w:rsid w:val="5F5B05A2"/>
    <w:rsid w:val="609213A6"/>
    <w:rsid w:val="61BA6334"/>
    <w:rsid w:val="63C27F07"/>
    <w:rsid w:val="68817CE7"/>
    <w:rsid w:val="68AD6386"/>
    <w:rsid w:val="6AD05861"/>
    <w:rsid w:val="6D7A6503"/>
    <w:rsid w:val="70757613"/>
    <w:rsid w:val="70B756B4"/>
    <w:rsid w:val="73270F88"/>
    <w:rsid w:val="74455F31"/>
    <w:rsid w:val="74B9379A"/>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214</Words>
  <Characters>1356</Characters>
  <Lines>9</Lines>
  <Paragraphs>2</Paragraphs>
  <TotalTime>0</TotalTime>
  <ScaleCrop>false</ScaleCrop>
  <LinksUpToDate>false</LinksUpToDate>
  <CharactersWithSpaces>1550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2025-08-20T07:57:35Z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