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BC3F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rPr>
          <w:rFonts w:hint="eastAsia" w:ascii="Verdana" w:hAnsi="Verdana" w:cs="Verdana"/>
          <w:b/>
          <w:i w:val="0"/>
          <w:strike w:val="0"/>
          <w:color w:val="000000"/>
          <w:sz w:val="28"/>
          <w:lang w:val="en-US" w:eastAsia="zh-CN"/>
        </w:rPr>
      </w:pPr>
      <w:bookmarkStart w:id="0" w:name="_GoBack"/>
      <w:bookmarkEnd w:id="0"/>
      <w:r>
        <w:rPr>
          <w:rFonts w:hint="eastAsia" w:ascii="Verdana" w:hAnsi="Verdana" w:cs="Verdana"/>
          <w:b/>
          <w:i w:val="0"/>
          <w:strike w:val="0"/>
          <w:color w:val="000000"/>
          <w:sz w:val="28"/>
          <w:lang w:val="en-US" w:eastAsia="zh-CN"/>
        </w:rPr>
        <w:t>FMUSER FUQ-100 Network Encoder Processor 12-Channel Input HDMI-SDI to IP HEVC-H.265 H.264 Encoding Modular Encoder for Broadcast Streaming</w:t>
      </w:r>
    </w:p>
    <w:p w14:paraId="7D2F53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Fonts w:hint="default" w:ascii="Verdana" w:hAnsi="Verdana" w:cs="Verdana"/>
          <w:b w:val="0"/>
          <w:i w:val="0"/>
          <w:strike w:val="0"/>
          <w:color w:val="000000"/>
          <w:sz w:val="28"/>
          <w:lang w:val="en-US" w:eastAsia="zh-CN"/>
        </w:rPr>
        <w:drawing>
          <wp:inline distT="0" distB="0" distL="114300" distR="114300">
            <wp:extent cx="6181725" cy="3400425"/>
            <wp:effectExtent l="0" t="0" r="0" b="0"/>
            <wp:docPr id="1" name="图片 1" descr="3EEECN_20200430051949"/>
            <wp:cNvGraphicFramePr/>
            <a:graphic xmlns:a="http://schemas.openxmlformats.org/drawingml/2006/main">
              <a:graphicData uri="http://schemas.openxmlformats.org/drawingml/2006/picture">
                <pic:pic xmlns:pic="http://schemas.openxmlformats.org/drawingml/2006/picture">
                  <pic:nvPicPr>
                    <pic:cNvPr id="1" name="图片 1" descr="3EEECN_20200430051949"/>
                    <pic:cNvPicPr/>
                  </pic:nvPicPr>
                  <pic:blipFill>
                    <a:blip r:embed="rId6"/>
                    <a:stretch>
                      <a:fillRect/>
                    </a:stretch>
                  </pic:blipFill>
                  <pic:spPr>
                    <a:xfrm>
                      <a:off x="0" y="0"/>
                      <a:ext cx="6181725" cy="3400425"/>
                    </a:xfrm>
                    <a:prstGeom prst="rect">
                      <a:avLst/>
                    </a:prstGeom>
                  </pic:spPr>
                </pic:pic>
              </a:graphicData>
            </a:graphic>
          </wp:inline>
        </w:drawing>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1047750"/>
            <wp:effectExtent l="0" t="0" r="3810" b="0"/>
            <wp:docPr id="7"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IMG_256"/>
                    <pic:cNvPicPr>
                      <a:picLocks noChangeAspect="1"/>
                    </pic:cNvPicPr>
                  </pic:nvPicPr>
                  <pic:blipFill>
                    <a:blip r:embed="rId8"/>
                    <a:stretch>
                      <a:fillRect/>
                    </a:stretch>
                  </pic:blipFill>
                  <pic:spPr>
                    <a:xfrm>
                      <a:off x="0" y="0"/>
                      <a:ext cx="6187440" cy="1047750"/>
                    </a:xfrm>
                    <a:prstGeom prst="rect">
                      <a:avLst/>
                    </a:prstGeom>
                    <a:noFill/>
                    <a:ln w="9525">
                      <a:noFill/>
                    </a:ln>
                  </pic:spPr>
                </pic:pic>
              </a:graphicData>
            </a:graphic>
          </wp:inline>
        </w:drawing>
      </w:r>
    </w:p>
    <w:p w14:paraId="08D5D5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0CDA6C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FF8C00"/>
          <w:spacing w:val="0"/>
          <w:sz w:val="21"/>
          <w:szCs w:val="21"/>
          <w:shd w:val="clear" w:fill="FEFCFD"/>
          <w:lang w:eastAsia="zh-CN"/>
        </w:rPr>
        <w:t>Product overview</w:t>
      </w:r>
    </w:p>
    <w:p w14:paraId="774434C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eastAsia" w:ascii="Verdana" w:hAnsi="Verdana" w:cs="Verdana"/>
          <w:i w:val="0"/>
          <w:iCs w:val="0"/>
          <w:caps w:val="0"/>
          <w:color w:val="333333"/>
          <w:spacing w:val="0"/>
          <w:sz w:val="18"/>
          <w:szCs w:val="18"/>
          <w:shd w:val="clear" w:fill="FEFCFD"/>
          <w:lang w:eastAsia="zh-CN"/>
        </w:rPr>
        <w:t>The FMUSER FUQ-100 Network Encoder Processor converts HDMI or SDI inputs into IP streams for distribution. It encodes signals using HEVC/H.265 or H.264 standards. The compact 1U chassis features three slots for flexible modules. Ideal for broadcasting and streaming applications over LAN or internet.</w:t>
      </w:r>
      <w:r>
        <w:rPr>
          <w:rFonts w:hint="default" w:ascii="Verdana" w:hAnsi="Verdana" w:cs="Verdana"/>
          <w:i w:val="0"/>
          <w:iCs w:val="0"/>
          <w:caps w:val="0"/>
          <w:color w:val="333333"/>
          <w:spacing w:val="0"/>
          <w:sz w:val="18"/>
          <w:szCs w:val="18"/>
          <w:shd w:val="clear" w:fill="FEFCFD"/>
        </w:rPr>
        <w:t>This 1-U chassis comes with 3 slots which allow loading different encoder modules with different interfaces and video formats.</w:t>
      </w:r>
    </w:p>
    <w:p w14:paraId="7E85D7F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pPr>
      <w:r>
        <w:rPr>
          <w:rFonts w:hint="default" w:ascii="Verdana" w:hAnsi="Verdana" w:cs="Verdana"/>
          <w:i w:val="0"/>
          <w:iCs w:val="0"/>
          <w:caps w:val="0"/>
          <w:color w:val="333333"/>
          <w:spacing w:val="0"/>
          <w:sz w:val="18"/>
          <w:szCs w:val="18"/>
          <w:shd w:val="clear" w:fill="FEFCFD"/>
        </w:rPr>
        <w:t> </w:t>
      </w:r>
    </w:p>
    <w:p w14:paraId="22B3A15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rPr>
          <w:rFonts w:hint="eastAsia" w:eastAsiaTheme="minorEastAsia"/>
          <w:lang w:eastAsia="zh-CN"/>
        </w:rPr>
      </w:pPr>
      <w:r>
        <w:rPr>
          <w:rStyle w:val="10"/>
          <w:rFonts w:hint="eastAsia" w:ascii="Verdana" w:hAnsi="Verdana" w:cs="Verdana"/>
          <w:i w:val="0"/>
          <w:iCs w:val="0"/>
          <w:caps w:val="0"/>
          <w:color w:val="FF8C00"/>
          <w:spacing w:val="0"/>
          <w:sz w:val="21"/>
          <w:szCs w:val="21"/>
          <w:shd w:val="clear" w:fill="FEFCFD"/>
          <w:lang w:eastAsia="zh-CN"/>
        </w:rPr>
        <w:t>Key feature</w:t>
      </w:r>
    </w:p>
    <w:p w14:paraId="2E0A3BA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eastAsia" w:ascii="Verdana" w:hAnsi="Verdana" w:cs="Verdana"/>
          <w:i w:val="0"/>
          <w:iCs w:val="0"/>
          <w:caps w:val="0"/>
          <w:color w:val="333333"/>
          <w:spacing w:val="0"/>
          <w:sz w:val="18"/>
          <w:szCs w:val="18"/>
          <w:shd w:val="clear" w:fill="FEFCFD"/>
          <w:lang w:eastAsia="zh-CN"/>
        </w:rPr>
        <w:t>Modular 1U chassis with three slots supporting up to 12 HD inputs. Supports HDMI and SDI inputs with HEVC/H.265 or H.264 encoding. IP output via UDP, RTP, RTSP, RTMP, HTTP, HLS with 180Mbps throughput. Web-based management and USB upgrade for control.</w:t>
      </w:r>
    </w:p>
    <w:p w14:paraId="1158917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0709CB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Encoder Module Specifications</w:t>
      </w:r>
    </w:p>
    <w:p w14:paraId="2CBD425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4 HDMI/SDI Encoding Module (DX224H/HV) </w:t>
      </w:r>
      <w:r>
        <w:rPr>
          <w:rFonts w:hint="default" w:ascii="Verdana" w:hAnsi="Verdana" w:cs="Verdana"/>
          <w:i w:val="0"/>
          <w:iCs w:val="0"/>
          <w:caps w:val="0"/>
          <w:color w:val="333333"/>
          <w:spacing w:val="0"/>
          <w:sz w:val="18"/>
          <w:szCs w:val="18"/>
          <w:u w:val="none"/>
          <w:shd w:val="clear" w:fill="FEFCFD"/>
        </w:rPr>
        <w:drawing>
          <wp:inline distT="0" distB="0" distL="114300" distR="114300">
            <wp:extent cx="476250" cy="476250"/>
            <wp:effectExtent l="0" t="0" r="0" b="0"/>
            <wp:docPr id="8"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IMG_257"/>
                    <pic:cNvPicPr>
                      <a:picLocks noChangeAspect="1"/>
                    </pic:cNvPicPr>
                  </pic:nvPicPr>
                  <pic:blipFill>
                    <a:blip r:embed="rId10"/>
                    <a:stretch>
                      <a:fillRect/>
                    </a:stretch>
                  </pic:blipFill>
                  <pic:spPr>
                    <a:xfrm>
                      <a:off x="0" y="0"/>
                      <a:ext cx="476250" cy="476250"/>
                    </a:xfrm>
                    <a:prstGeom prst="rect">
                      <a:avLst/>
                    </a:prstGeom>
                    <a:noFill/>
                    <a:ln w="9525">
                      <a:noFill/>
                    </a:ln>
                  </pic:spPr>
                </pic:pic>
              </a:graphicData>
            </a:graphic>
          </wp:inline>
        </w:drawing>
      </w:r>
    </w:p>
    <w:p w14:paraId="7DCE996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142490"/>
            <wp:effectExtent l="0" t="0" r="3810" b="1016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7440" cy="2142490"/>
                    </a:xfrm>
                    <a:prstGeom prst="rect">
                      <a:avLst/>
                    </a:prstGeom>
                    <a:noFill/>
                    <a:ln w="9525">
                      <a:noFill/>
                    </a:ln>
                  </pic:spPr>
                </pic:pic>
              </a:graphicData>
            </a:graphic>
          </wp:inline>
        </w:drawing>
      </w:r>
    </w:p>
    <w:p w14:paraId="32A6BCE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87440" cy="2552065"/>
            <wp:effectExtent l="0" t="0" r="3810" b="635"/>
            <wp:docPr id="2" name="图片 4" descr="IMG_259">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 descr="IMG_259"/>
                    <pic:cNvPicPr>
                      <a:picLocks noChangeAspect="1"/>
                    </pic:cNvPicPr>
                  </pic:nvPicPr>
                  <pic:blipFill>
                    <a:blip r:embed="rId14"/>
                    <a:stretch>
                      <a:fillRect/>
                    </a:stretch>
                  </pic:blipFill>
                  <pic:spPr>
                    <a:xfrm>
                      <a:off x="0" y="0"/>
                      <a:ext cx="6187440" cy="2552065"/>
                    </a:xfrm>
                    <a:prstGeom prst="rect">
                      <a:avLst/>
                    </a:prstGeom>
                    <a:noFill/>
                    <a:ln w="9525">
                      <a:noFill/>
                    </a:ln>
                  </pic:spPr>
                </pic:pic>
              </a:graphicData>
            </a:graphic>
          </wp:inline>
        </w:drawing>
      </w:r>
    </w:p>
    <w:p w14:paraId="24BF84F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Module Specifications:</w:t>
      </w:r>
    </w:p>
    <w:p w14:paraId="73184C7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Input: 4×HDMI (1.4) input, HDCP 1.4, or 4×SDI input</w:t>
      </w:r>
    </w:p>
    <w:p w14:paraId="0C2A25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Video Encoding:</w:t>
      </w:r>
    </w:p>
    <w:p w14:paraId="2DB4CC4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Video format: HEVC/H.265 &amp; MPEG 4 AVC/H.264           </w:t>
      </w:r>
    </w:p>
    <w:p w14:paraId="1109B90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Resolution:</w:t>
      </w:r>
    </w:p>
    <w:tbl>
      <w:tblPr>
        <w:tblStyle w:val="7"/>
        <w:tblW w:w="94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1458"/>
        <w:gridCol w:w="2363"/>
        <w:gridCol w:w="2363"/>
        <w:gridCol w:w="3266"/>
      </w:tblGrid>
      <w:tr w14:paraId="06F047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555" w:type="dxa"/>
            <w:vMerge w:val="restart"/>
            <w:shd w:val="clear" w:color="auto" w:fill="auto"/>
            <w:vAlign w:val="center"/>
          </w:tcPr>
          <w:p w14:paraId="7965ABC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13" w:right="0"/>
              <w:jc w:val="center"/>
            </w:pPr>
            <w:r>
              <w:rPr>
                <w:rStyle w:val="10"/>
              </w:rPr>
              <w:t> DX224HV</w:t>
            </w:r>
          </w:p>
        </w:tc>
        <w:tc>
          <w:tcPr>
            <w:tcW w:w="1845" w:type="dxa"/>
            <w:vMerge w:val="restart"/>
            <w:shd w:val="clear" w:color="auto" w:fill="auto"/>
            <w:vAlign w:val="center"/>
          </w:tcPr>
          <w:p w14:paraId="36AD799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Input</w:t>
            </w:r>
          </w:p>
        </w:tc>
        <w:tc>
          <w:tcPr>
            <w:tcW w:w="4395" w:type="dxa"/>
            <w:gridSpan w:val="2"/>
            <w:shd w:val="clear" w:color="auto" w:fill="auto"/>
            <w:vAlign w:val="center"/>
          </w:tcPr>
          <w:p w14:paraId="3302D8B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Output</w:t>
            </w:r>
          </w:p>
        </w:tc>
      </w:tr>
      <w:tr w14:paraId="1A4168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555" w:type="dxa"/>
            <w:vMerge w:val="continue"/>
            <w:shd w:val="clear" w:color="auto" w:fill="auto"/>
            <w:vAlign w:val="center"/>
          </w:tcPr>
          <w:p w14:paraId="7D98A7C7">
            <w:pPr>
              <w:jc w:val="left"/>
              <w:rPr>
                <w:rFonts w:hint="eastAsia" w:ascii="宋体"/>
                <w:sz w:val="24"/>
                <w:szCs w:val="24"/>
              </w:rPr>
            </w:pPr>
          </w:p>
        </w:tc>
        <w:tc>
          <w:tcPr>
            <w:tcW w:w="1845" w:type="dxa"/>
            <w:vMerge w:val="continue"/>
            <w:shd w:val="clear" w:color="auto" w:fill="auto"/>
            <w:vAlign w:val="center"/>
          </w:tcPr>
          <w:p w14:paraId="1FD13FBB">
            <w:pPr>
              <w:jc w:val="left"/>
              <w:rPr>
                <w:rFonts w:hint="eastAsia" w:ascii="宋体"/>
                <w:sz w:val="24"/>
                <w:szCs w:val="24"/>
              </w:rPr>
            </w:pPr>
          </w:p>
        </w:tc>
        <w:tc>
          <w:tcPr>
            <w:tcW w:w="1845" w:type="dxa"/>
            <w:shd w:val="clear" w:color="auto" w:fill="auto"/>
            <w:vAlign w:val="center"/>
          </w:tcPr>
          <w:p w14:paraId="25F45D2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HEVC/H.265</w:t>
            </w:r>
          </w:p>
        </w:tc>
        <w:tc>
          <w:tcPr>
            <w:tcW w:w="2550" w:type="dxa"/>
            <w:shd w:val="clear" w:color="auto" w:fill="auto"/>
            <w:vAlign w:val="center"/>
          </w:tcPr>
          <w:p w14:paraId="7D4602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MPEG-4 AVC/H.264</w:t>
            </w:r>
          </w:p>
        </w:tc>
      </w:tr>
      <w:tr w14:paraId="0CEABE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555" w:type="dxa"/>
            <w:vMerge w:val="continue"/>
            <w:shd w:val="clear" w:color="auto" w:fill="auto"/>
            <w:vAlign w:val="center"/>
          </w:tcPr>
          <w:p w14:paraId="7F17B956">
            <w:pPr>
              <w:jc w:val="left"/>
              <w:rPr>
                <w:rFonts w:hint="eastAsia" w:ascii="宋体"/>
                <w:sz w:val="24"/>
                <w:szCs w:val="24"/>
              </w:rPr>
            </w:pPr>
          </w:p>
        </w:tc>
        <w:tc>
          <w:tcPr>
            <w:tcW w:w="1845" w:type="dxa"/>
            <w:shd w:val="clear" w:color="auto" w:fill="auto"/>
            <w:vAlign w:val="center"/>
          </w:tcPr>
          <w:p w14:paraId="1284F92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1845" w:type="dxa"/>
            <w:shd w:val="clear" w:color="auto" w:fill="auto"/>
            <w:vAlign w:val="center"/>
          </w:tcPr>
          <w:p w14:paraId="05C9FD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2550" w:type="dxa"/>
            <w:shd w:val="clear" w:color="auto" w:fill="auto"/>
            <w:vAlign w:val="center"/>
          </w:tcPr>
          <w:p w14:paraId="0C12946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4*1080P-25</w:t>
            </w:r>
          </w:p>
          <w:p w14:paraId="7D853A8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2*1080P-50</w:t>
            </w:r>
          </w:p>
        </w:tc>
      </w:tr>
      <w:tr w14:paraId="18A9D5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555" w:type="dxa"/>
            <w:vMerge w:val="continue"/>
            <w:shd w:val="clear" w:color="auto" w:fill="auto"/>
            <w:vAlign w:val="center"/>
          </w:tcPr>
          <w:p w14:paraId="69C2138B">
            <w:pPr>
              <w:jc w:val="left"/>
              <w:rPr>
                <w:rFonts w:hint="eastAsia" w:ascii="宋体"/>
                <w:sz w:val="24"/>
                <w:szCs w:val="24"/>
              </w:rPr>
            </w:pPr>
          </w:p>
        </w:tc>
        <w:tc>
          <w:tcPr>
            <w:tcW w:w="1845" w:type="dxa"/>
            <w:shd w:val="clear" w:color="auto" w:fill="auto"/>
            <w:vAlign w:val="center"/>
          </w:tcPr>
          <w:p w14:paraId="3F65931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1845" w:type="dxa"/>
            <w:shd w:val="clear" w:color="auto" w:fill="auto"/>
            <w:vAlign w:val="center"/>
          </w:tcPr>
          <w:p w14:paraId="5344D8C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w:t>
            </w:r>
          </w:p>
          <w:p w14:paraId="1438C0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4*1080P-59.94</w:t>
            </w:r>
          </w:p>
        </w:tc>
        <w:tc>
          <w:tcPr>
            <w:tcW w:w="2550" w:type="dxa"/>
            <w:shd w:val="clear" w:color="auto" w:fill="auto"/>
            <w:vAlign w:val="center"/>
          </w:tcPr>
          <w:p w14:paraId="126E92B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4*1080P-30</w:t>
            </w:r>
          </w:p>
          <w:p w14:paraId="34F94A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4*1080P-29.97</w:t>
            </w:r>
          </w:p>
          <w:p w14:paraId="645BA8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2*1080P-60</w:t>
            </w:r>
          </w:p>
          <w:p w14:paraId="044DC73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2*1080P-59.94</w:t>
            </w:r>
          </w:p>
        </w:tc>
      </w:tr>
      <w:tr w14:paraId="35046DF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555" w:type="dxa"/>
            <w:vMerge w:val="continue"/>
            <w:shd w:val="clear" w:color="auto" w:fill="auto"/>
            <w:vAlign w:val="center"/>
          </w:tcPr>
          <w:p w14:paraId="236C49CA">
            <w:pPr>
              <w:jc w:val="left"/>
              <w:rPr>
                <w:rFonts w:hint="eastAsia" w:ascii="宋体"/>
                <w:sz w:val="24"/>
                <w:szCs w:val="24"/>
              </w:rPr>
            </w:pPr>
          </w:p>
        </w:tc>
        <w:tc>
          <w:tcPr>
            <w:tcW w:w="1845" w:type="dxa"/>
            <w:shd w:val="clear" w:color="auto" w:fill="auto"/>
            <w:vAlign w:val="center"/>
          </w:tcPr>
          <w:p w14:paraId="5F52E05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w:t>
            </w:r>
          </w:p>
        </w:tc>
        <w:tc>
          <w:tcPr>
            <w:tcW w:w="1845" w:type="dxa"/>
            <w:shd w:val="clear" w:color="auto" w:fill="auto"/>
            <w:vAlign w:val="center"/>
          </w:tcPr>
          <w:p w14:paraId="0AA760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p w14:paraId="75B1939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4*1080P-25</w:t>
            </w:r>
          </w:p>
        </w:tc>
        <w:tc>
          <w:tcPr>
            <w:tcW w:w="2550" w:type="dxa"/>
            <w:shd w:val="clear" w:color="auto" w:fill="auto"/>
            <w:vAlign w:val="center"/>
          </w:tcPr>
          <w:p w14:paraId="6C6830B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w:t>
            </w:r>
          </w:p>
          <w:p w14:paraId="4F839B0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4*1080P-25</w:t>
            </w:r>
          </w:p>
          <w:p w14:paraId="42FF81D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2*1080P-50</w:t>
            </w:r>
          </w:p>
        </w:tc>
      </w:tr>
      <w:tr w14:paraId="503ECCC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555" w:type="dxa"/>
            <w:vMerge w:val="continue"/>
            <w:shd w:val="clear" w:color="auto" w:fill="auto"/>
            <w:vAlign w:val="center"/>
          </w:tcPr>
          <w:p w14:paraId="5FEE5DD0">
            <w:pPr>
              <w:jc w:val="left"/>
              <w:rPr>
                <w:rFonts w:hint="eastAsia" w:ascii="宋体"/>
                <w:sz w:val="24"/>
                <w:szCs w:val="24"/>
              </w:rPr>
            </w:pPr>
          </w:p>
        </w:tc>
        <w:tc>
          <w:tcPr>
            <w:tcW w:w="1845" w:type="dxa"/>
            <w:shd w:val="clear" w:color="auto" w:fill="auto"/>
            <w:vAlign w:val="center"/>
          </w:tcPr>
          <w:p w14:paraId="6B0D841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4*1080I-60/59.94</w:t>
            </w:r>
          </w:p>
        </w:tc>
        <w:tc>
          <w:tcPr>
            <w:tcW w:w="1845" w:type="dxa"/>
            <w:shd w:val="clear" w:color="auto" w:fill="auto"/>
            <w:vAlign w:val="center"/>
          </w:tcPr>
          <w:p w14:paraId="0F5714B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w:t>
            </w:r>
          </w:p>
          <w:p w14:paraId="53C668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4*1080P-30</w:t>
            </w:r>
          </w:p>
        </w:tc>
        <w:tc>
          <w:tcPr>
            <w:tcW w:w="2550" w:type="dxa"/>
            <w:shd w:val="clear" w:color="auto" w:fill="auto"/>
            <w:vAlign w:val="center"/>
          </w:tcPr>
          <w:p w14:paraId="292FB95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w:t>
            </w:r>
          </w:p>
          <w:p w14:paraId="7D13C67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4*1080P-30</w:t>
            </w:r>
          </w:p>
          <w:p w14:paraId="59EBE22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2*1080P-60</w:t>
            </w:r>
          </w:p>
        </w:tc>
      </w:tr>
      <w:tr w14:paraId="3254FFB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555" w:type="dxa"/>
            <w:vMerge w:val="continue"/>
            <w:shd w:val="clear" w:color="auto" w:fill="auto"/>
            <w:vAlign w:val="center"/>
          </w:tcPr>
          <w:p w14:paraId="40A4ADA3">
            <w:pPr>
              <w:jc w:val="left"/>
              <w:rPr>
                <w:rFonts w:hint="eastAsia" w:ascii="宋体"/>
                <w:sz w:val="24"/>
                <w:szCs w:val="24"/>
              </w:rPr>
            </w:pPr>
          </w:p>
        </w:tc>
        <w:tc>
          <w:tcPr>
            <w:tcW w:w="1845" w:type="dxa"/>
            <w:shd w:val="clear" w:color="auto" w:fill="auto"/>
            <w:vAlign w:val="center"/>
          </w:tcPr>
          <w:p w14:paraId="764C2FD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1845" w:type="dxa"/>
            <w:shd w:val="clear" w:color="auto" w:fill="auto"/>
            <w:vAlign w:val="center"/>
          </w:tcPr>
          <w:p w14:paraId="697312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2550" w:type="dxa"/>
            <w:shd w:val="clear" w:color="auto" w:fill="auto"/>
            <w:vAlign w:val="center"/>
          </w:tcPr>
          <w:p w14:paraId="45BC036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r>
      <w:tr w14:paraId="5FFED5E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30" w:hRule="atLeast"/>
          <w:tblCellSpacing w:w="0" w:type="dxa"/>
        </w:trPr>
        <w:tc>
          <w:tcPr>
            <w:tcW w:w="555" w:type="dxa"/>
            <w:vMerge w:val="continue"/>
            <w:shd w:val="clear" w:color="auto" w:fill="auto"/>
            <w:vAlign w:val="center"/>
          </w:tcPr>
          <w:p w14:paraId="07F6FC5A">
            <w:pPr>
              <w:jc w:val="left"/>
              <w:rPr>
                <w:rFonts w:hint="eastAsia" w:ascii="宋体"/>
                <w:sz w:val="24"/>
                <w:szCs w:val="24"/>
              </w:rPr>
            </w:pPr>
          </w:p>
        </w:tc>
        <w:tc>
          <w:tcPr>
            <w:tcW w:w="1845" w:type="dxa"/>
            <w:shd w:val="clear" w:color="auto" w:fill="auto"/>
            <w:vAlign w:val="center"/>
          </w:tcPr>
          <w:p w14:paraId="7DAB5C0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c>
          <w:tcPr>
            <w:tcW w:w="1845" w:type="dxa"/>
            <w:shd w:val="clear" w:color="auto" w:fill="auto"/>
            <w:vAlign w:val="center"/>
          </w:tcPr>
          <w:p w14:paraId="7EF2896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w:t>
            </w:r>
          </w:p>
          <w:p w14:paraId="27E30D0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4*720P-59.94</w:t>
            </w:r>
          </w:p>
        </w:tc>
        <w:tc>
          <w:tcPr>
            <w:tcW w:w="2550" w:type="dxa"/>
            <w:shd w:val="clear" w:color="auto" w:fill="auto"/>
            <w:vAlign w:val="center"/>
          </w:tcPr>
          <w:p w14:paraId="656037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w:t>
            </w:r>
          </w:p>
          <w:p w14:paraId="1FEECEB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4*720P-59.94</w:t>
            </w:r>
          </w:p>
        </w:tc>
      </w:tr>
      <w:tr w14:paraId="2509D8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555" w:type="dxa"/>
            <w:vMerge w:val="restart"/>
            <w:shd w:val="clear" w:color="auto" w:fill="auto"/>
            <w:vAlign w:val="center"/>
          </w:tcPr>
          <w:p w14:paraId="73252AD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113" w:right="0"/>
              <w:jc w:val="center"/>
            </w:pPr>
            <w:r>
              <w:rPr>
                <w:rStyle w:val="10"/>
              </w:rPr>
              <w:t>DX224H</w:t>
            </w:r>
          </w:p>
        </w:tc>
        <w:tc>
          <w:tcPr>
            <w:tcW w:w="1845" w:type="dxa"/>
            <w:vMerge w:val="restart"/>
            <w:shd w:val="clear" w:color="auto" w:fill="auto"/>
            <w:vAlign w:val="center"/>
          </w:tcPr>
          <w:p w14:paraId="0E57D7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Input</w:t>
            </w:r>
          </w:p>
        </w:tc>
        <w:tc>
          <w:tcPr>
            <w:tcW w:w="4395" w:type="dxa"/>
            <w:gridSpan w:val="2"/>
            <w:shd w:val="clear" w:color="auto" w:fill="auto"/>
            <w:vAlign w:val="center"/>
          </w:tcPr>
          <w:p w14:paraId="212FB00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Output</w:t>
            </w:r>
          </w:p>
        </w:tc>
      </w:tr>
      <w:tr w14:paraId="08E187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25" w:hRule="atLeast"/>
          <w:tblCellSpacing w:w="0" w:type="dxa"/>
        </w:trPr>
        <w:tc>
          <w:tcPr>
            <w:tcW w:w="555" w:type="dxa"/>
            <w:vMerge w:val="continue"/>
            <w:shd w:val="clear" w:color="auto" w:fill="auto"/>
            <w:vAlign w:val="center"/>
          </w:tcPr>
          <w:p w14:paraId="628E20C6">
            <w:pPr>
              <w:jc w:val="left"/>
              <w:rPr>
                <w:rFonts w:hint="eastAsia" w:ascii="宋体"/>
                <w:sz w:val="24"/>
                <w:szCs w:val="24"/>
              </w:rPr>
            </w:pPr>
          </w:p>
        </w:tc>
        <w:tc>
          <w:tcPr>
            <w:tcW w:w="1845" w:type="dxa"/>
            <w:vMerge w:val="continue"/>
            <w:shd w:val="clear" w:color="auto" w:fill="auto"/>
            <w:vAlign w:val="center"/>
          </w:tcPr>
          <w:p w14:paraId="59397540">
            <w:pPr>
              <w:jc w:val="left"/>
              <w:rPr>
                <w:rFonts w:hint="eastAsia" w:ascii="宋体"/>
                <w:sz w:val="24"/>
                <w:szCs w:val="24"/>
              </w:rPr>
            </w:pPr>
          </w:p>
        </w:tc>
        <w:tc>
          <w:tcPr>
            <w:tcW w:w="1845" w:type="dxa"/>
            <w:shd w:val="clear" w:color="auto" w:fill="auto"/>
            <w:vAlign w:val="center"/>
          </w:tcPr>
          <w:p w14:paraId="2357E9C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HEVC/H.265</w:t>
            </w:r>
          </w:p>
        </w:tc>
        <w:tc>
          <w:tcPr>
            <w:tcW w:w="2550" w:type="dxa"/>
            <w:shd w:val="clear" w:color="auto" w:fill="auto"/>
            <w:vAlign w:val="center"/>
          </w:tcPr>
          <w:p w14:paraId="4E2FE29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center"/>
            </w:pPr>
            <w:r>
              <w:rPr>
                <w:rStyle w:val="10"/>
              </w:rPr>
              <w:t>MPEG-4 AVC/H.264</w:t>
            </w:r>
          </w:p>
        </w:tc>
      </w:tr>
      <w:tr w14:paraId="3F024B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555" w:type="dxa"/>
            <w:vMerge w:val="continue"/>
            <w:shd w:val="clear" w:color="auto" w:fill="auto"/>
            <w:vAlign w:val="center"/>
          </w:tcPr>
          <w:p w14:paraId="42310B0B">
            <w:pPr>
              <w:jc w:val="left"/>
              <w:rPr>
                <w:rFonts w:hint="eastAsia" w:ascii="宋体"/>
                <w:sz w:val="24"/>
                <w:szCs w:val="24"/>
              </w:rPr>
            </w:pPr>
          </w:p>
        </w:tc>
        <w:tc>
          <w:tcPr>
            <w:tcW w:w="1845" w:type="dxa"/>
            <w:shd w:val="clear" w:color="auto" w:fill="auto"/>
            <w:vAlign w:val="center"/>
          </w:tcPr>
          <w:p w14:paraId="0CC3BC8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1845" w:type="dxa"/>
            <w:shd w:val="clear" w:color="auto" w:fill="auto"/>
            <w:vAlign w:val="center"/>
          </w:tcPr>
          <w:p w14:paraId="77B968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c>
          <w:tcPr>
            <w:tcW w:w="2550" w:type="dxa"/>
            <w:shd w:val="clear" w:color="auto" w:fill="auto"/>
            <w:vAlign w:val="center"/>
          </w:tcPr>
          <w:p w14:paraId="5D4B0EF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tc>
      </w:tr>
      <w:tr w14:paraId="032F563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555" w:type="dxa"/>
            <w:vMerge w:val="continue"/>
            <w:shd w:val="clear" w:color="auto" w:fill="auto"/>
            <w:vAlign w:val="center"/>
          </w:tcPr>
          <w:p w14:paraId="10DC566E">
            <w:pPr>
              <w:jc w:val="left"/>
              <w:rPr>
                <w:rFonts w:hint="eastAsia" w:ascii="宋体"/>
                <w:sz w:val="24"/>
                <w:szCs w:val="24"/>
              </w:rPr>
            </w:pPr>
          </w:p>
        </w:tc>
        <w:tc>
          <w:tcPr>
            <w:tcW w:w="1845" w:type="dxa"/>
            <w:shd w:val="clear" w:color="auto" w:fill="auto"/>
            <w:vAlign w:val="center"/>
          </w:tcPr>
          <w:p w14:paraId="11F9FAA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4*1080P-60/59.94</w:t>
            </w:r>
          </w:p>
        </w:tc>
        <w:tc>
          <w:tcPr>
            <w:tcW w:w="1845" w:type="dxa"/>
            <w:shd w:val="clear" w:color="auto" w:fill="auto"/>
            <w:vAlign w:val="center"/>
          </w:tcPr>
          <w:p w14:paraId="61D359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w:t>
            </w:r>
          </w:p>
          <w:p w14:paraId="224567B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4*1080P-59.94</w:t>
            </w:r>
          </w:p>
        </w:tc>
        <w:tc>
          <w:tcPr>
            <w:tcW w:w="2550" w:type="dxa"/>
            <w:shd w:val="clear" w:color="auto" w:fill="auto"/>
            <w:vAlign w:val="center"/>
          </w:tcPr>
          <w:p w14:paraId="5ADF1E9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w:t>
            </w:r>
          </w:p>
          <w:p w14:paraId="0D371FD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4*1080P-59.94</w:t>
            </w:r>
          </w:p>
        </w:tc>
      </w:tr>
      <w:tr w14:paraId="5C0242B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555" w:type="dxa"/>
            <w:vMerge w:val="continue"/>
            <w:shd w:val="clear" w:color="auto" w:fill="auto"/>
            <w:vAlign w:val="center"/>
          </w:tcPr>
          <w:p w14:paraId="32B6E7EC">
            <w:pPr>
              <w:jc w:val="left"/>
              <w:rPr>
                <w:rFonts w:hint="eastAsia" w:ascii="宋体"/>
                <w:sz w:val="24"/>
                <w:szCs w:val="24"/>
              </w:rPr>
            </w:pPr>
          </w:p>
        </w:tc>
        <w:tc>
          <w:tcPr>
            <w:tcW w:w="1845" w:type="dxa"/>
            <w:shd w:val="clear" w:color="auto" w:fill="auto"/>
            <w:vAlign w:val="center"/>
          </w:tcPr>
          <w:p w14:paraId="77A59997">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w:t>
            </w:r>
          </w:p>
        </w:tc>
        <w:tc>
          <w:tcPr>
            <w:tcW w:w="1845" w:type="dxa"/>
            <w:shd w:val="clear" w:color="auto" w:fill="auto"/>
            <w:vAlign w:val="center"/>
          </w:tcPr>
          <w:p w14:paraId="5E36E93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p w14:paraId="3FDE154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4*1080P-25</w:t>
            </w:r>
          </w:p>
        </w:tc>
        <w:tc>
          <w:tcPr>
            <w:tcW w:w="2550" w:type="dxa"/>
            <w:shd w:val="clear" w:color="auto" w:fill="auto"/>
            <w:vAlign w:val="center"/>
          </w:tcPr>
          <w:p w14:paraId="6B7C7FD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4*1080P-25</w:t>
            </w:r>
          </w:p>
          <w:p w14:paraId="63D94DF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4*1080P-50</w:t>
            </w:r>
          </w:p>
          <w:p w14:paraId="7B5C2C3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4*1080I-50</w:t>
            </w:r>
          </w:p>
        </w:tc>
      </w:tr>
      <w:tr w14:paraId="74DF725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51" w:hRule="atLeast"/>
          <w:tblCellSpacing w:w="0" w:type="dxa"/>
        </w:trPr>
        <w:tc>
          <w:tcPr>
            <w:tcW w:w="555" w:type="dxa"/>
            <w:vMerge w:val="continue"/>
            <w:shd w:val="clear" w:color="auto" w:fill="auto"/>
            <w:vAlign w:val="center"/>
          </w:tcPr>
          <w:p w14:paraId="498E4A34">
            <w:pPr>
              <w:jc w:val="left"/>
              <w:rPr>
                <w:rFonts w:hint="eastAsia" w:ascii="宋体"/>
                <w:sz w:val="24"/>
                <w:szCs w:val="24"/>
              </w:rPr>
            </w:pPr>
          </w:p>
        </w:tc>
        <w:tc>
          <w:tcPr>
            <w:tcW w:w="1845" w:type="dxa"/>
            <w:shd w:val="clear" w:color="auto" w:fill="auto"/>
            <w:vAlign w:val="center"/>
          </w:tcPr>
          <w:p w14:paraId="7C9A216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4*1080I-60/59.94</w:t>
            </w:r>
          </w:p>
        </w:tc>
        <w:tc>
          <w:tcPr>
            <w:tcW w:w="1845" w:type="dxa"/>
            <w:shd w:val="clear" w:color="auto" w:fill="auto"/>
            <w:vAlign w:val="center"/>
          </w:tcPr>
          <w:p w14:paraId="7ECA30E9">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w:t>
            </w:r>
          </w:p>
          <w:p w14:paraId="4B98D86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4*1080P-30</w:t>
            </w:r>
          </w:p>
        </w:tc>
        <w:tc>
          <w:tcPr>
            <w:tcW w:w="2550" w:type="dxa"/>
            <w:shd w:val="clear" w:color="auto" w:fill="auto"/>
            <w:vAlign w:val="center"/>
          </w:tcPr>
          <w:p w14:paraId="487C1A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4*1080P-30</w:t>
            </w:r>
          </w:p>
          <w:p w14:paraId="62080AB3">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4*1080P-60</w:t>
            </w:r>
          </w:p>
          <w:p w14:paraId="47FF595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4*1080I-60</w:t>
            </w:r>
          </w:p>
        </w:tc>
      </w:tr>
      <w:tr w14:paraId="3D29B96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06" w:hRule="atLeast"/>
          <w:tblCellSpacing w:w="0" w:type="dxa"/>
        </w:trPr>
        <w:tc>
          <w:tcPr>
            <w:tcW w:w="555" w:type="dxa"/>
            <w:vMerge w:val="continue"/>
            <w:shd w:val="clear" w:color="auto" w:fill="auto"/>
            <w:vAlign w:val="center"/>
          </w:tcPr>
          <w:p w14:paraId="2C3B0E62">
            <w:pPr>
              <w:jc w:val="left"/>
              <w:rPr>
                <w:rFonts w:hint="eastAsia" w:ascii="宋体"/>
                <w:sz w:val="24"/>
                <w:szCs w:val="24"/>
              </w:rPr>
            </w:pPr>
          </w:p>
        </w:tc>
        <w:tc>
          <w:tcPr>
            <w:tcW w:w="1845" w:type="dxa"/>
            <w:shd w:val="clear" w:color="auto" w:fill="auto"/>
            <w:vAlign w:val="center"/>
          </w:tcPr>
          <w:p w14:paraId="1D6A7C6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1845" w:type="dxa"/>
            <w:shd w:val="clear" w:color="auto" w:fill="auto"/>
            <w:vAlign w:val="center"/>
          </w:tcPr>
          <w:p w14:paraId="6F34F67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w:t>
            </w:r>
          </w:p>
        </w:tc>
        <w:tc>
          <w:tcPr>
            <w:tcW w:w="2550" w:type="dxa"/>
            <w:shd w:val="clear" w:color="auto" w:fill="auto"/>
            <w:vAlign w:val="center"/>
          </w:tcPr>
          <w:p w14:paraId="1F1218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4*720P-50　</w:t>
            </w:r>
          </w:p>
        </w:tc>
      </w:tr>
      <w:tr w14:paraId="533E6F6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75" w:hRule="atLeast"/>
          <w:tblCellSpacing w:w="0" w:type="dxa"/>
        </w:trPr>
        <w:tc>
          <w:tcPr>
            <w:tcW w:w="555" w:type="dxa"/>
            <w:vMerge w:val="continue"/>
            <w:shd w:val="clear" w:color="auto" w:fill="auto"/>
            <w:vAlign w:val="center"/>
          </w:tcPr>
          <w:p w14:paraId="67CED8DE">
            <w:pPr>
              <w:jc w:val="left"/>
              <w:rPr>
                <w:rFonts w:hint="eastAsia" w:ascii="宋体"/>
                <w:sz w:val="24"/>
                <w:szCs w:val="24"/>
              </w:rPr>
            </w:pPr>
          </w:p>
        </w:tc>
        <w:tc>
          <w:tcPr>
            <w:tcW w:w="1845" w:type="dxa"/>
            <w:shd w:val="clear" w:color="auto" w:fill="auto"/>
            <w:vAlign w:val="center"/>
          </w:tcPr>
          <w:p w14:paraId="08CB1B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4*720P-60/59.94</w:t>
            </w:r>
          </w:p>
        </w:tc>
        <w:tc>
          <w:tcPr>
            <w:tcW w:w="1845" w:type="dxa"/>
            <w:shd w:val="clear" w:color="auto" w:fill="auto"/>
            <w:vAlign w:val="center"/>
          </w:tcPr>
          <w:p w14:paraId="0BBC17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w:t>
            </w:r>
          </w:p>
          <w:p w14:paraId="241D9FBF">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4*720P-59.94</w:t>
            </w:r>
          </w:p>
        </w:tc>
        <w:tc>
          <w:tcPr>
            <w:tcW w:w="2550" w:type="dxa"/>
            <w:shd w:val="clear" w:color="auto" w:fill="auto"/>
            <w:vAlign w:val="center"/>
          </w:tcPr>
          <w:p w14:paraId="2815EFF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4*720P-60</w:t>
            </w:r>
          </w:p>
          <w:p w14:paraId="424EA2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4*720P-59.94</w:t>
            </w:r>
          </w:p>
        </w:tc>
      </w:tr>
    </w:tbl>
    <w:p w14:paraId="735F36EB">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Chroma: 4:2:0     </w:t>
      </w:r>
    </w:p>
    <w:p w14:paraId="142DDE5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Bit rate (each channel): 0.5Mbps~20Mbps (H.265),  4 Mbps~20Mbps (H.264)</w:t>
      </w:r>
    </w:p>
    <w:p w14:paraId="655EF2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Rate Control: CBR/VBR     </w:t>
      </w:r>
    </w:p>
    <w:p w14:paraId="3E886D4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GOP structure: IBBP, IPPP</w:t>
      </w:r>
    </w:p>
    <w:p w14:paraId="4BFE8D72">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333333"/>
          <w:spacing w:val="0"/>
          <w:sz w:val="18"/>
          <w:szCs w:val="18"/>
          <w:shd w:val="clear" w:fill="FEFCFD"/>
        </w:rPr>
        <w:t>Audio Encoding:</w:t>
      </w:r>
    </w:p>
    <w:p w14:paraId="0DD3F745">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Audio format: MPEG-1 Layer 2, LC-AAC, HE-AAC, HE-AAC V2, AC3 Passthrough</w:t>
      </w:r>
    </w:p>
    <w:p w14:paraId="40B0D7B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Sampling rate: 48KHz       </w:t>
      </w:r>
    </w:p>
    <w:p w14:paraId="665200C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Bit-rate (each channel):</w:t>
      </w:r>
    </w:p>
    <w:p w14:paraId="490311D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48Kbps~384Kbps (MPEG-1 Layer 2 &amp; LC-AAC)</w:t>
      </w:r>
    </w:p>
    <w:p w14:paraId="279C0D3D">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24 Kbps~128 Kbps (HE-AAC)</w:t>
      </w:r>
    </w:p>
    <w:p w14:paraId="0A994EBA">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18 Kbps~56 Kbps (HE-AAC V2)</w:t>
      </w:r>
    </w:p>
    <w:p w14:paraId="3A336E51">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Audio Gain: 0~255</w:t>
      </w:r>
    </w:p>
    <w:p w14:paraId="43C67306">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Support Logo, QR Code insertion--</w:t>
      </w:r>
      <w:r>
        <w:rPr>
          <w:rFonts w:hint="default" w:ascii="Verdana" w:hAnsi="Verdana" w:cs="Verdana"/>
          <w:i w:val="0"/>
          <w:iCs w:val="0"/>
          <w:caps w:val="0"/>
          <w:color w:val="FF0000"/>
          <w:spacing w:val="0"/>
          <w:sz w:val="18"/>
          <w:szCs w:val="18"/>
          <w:shd w:val="clear" w:fill="FEFCFD"/>
        </w:rPr>
        <w:t>Optional as per order</w:t>
      </w:r>
    </w:p>
    <w:p w14:paraId="3B4C5AE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1745939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System Diagram Illustration:</w:t>
      </w:r>
    </w:p>
    <w:p w14:paraId="0CCA739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u w:val="none"/>
          <w:shd w:val="clear" w:fill="FEFCFD"/>
        </w:rPr>
        <w:drawing>
          <wp:inline distT="0" distB="0" distL="114300" distR="114300">
            <wp:extent cx="6179185" cy="2710180"/>
            <wp:effectExtent l="0" t="0" r="12065" b="13970"/>
            <wp:docPr id="6" name="图片 5" descr="IMG_260">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descr="IMG_260"/>
                    <pic:cNvPicPr>
                      <a:picLocks noChangeAspect="1"/>
                    </pic:cNvPicPr>
                  </pic:nvPicPr>
                  <pic:blipFill>
                    <a:blip r:embed="rId16"/>
                    <a:stretch>
                      <a:fillRect/>
                    </a:stretch>
                  </pic:blipFill>
                  <pic:spPr>
                    <a:xfrm>
                      <a:off x="0" y="0"/>
                      <a:ext cx="6179185" cy="2710180"/>
                    </a:xfrm>
                    <a:prstGeom prst="rect">
                      <a:avLst/>
                    </a:prstGeom>
                    <a:noFill/>
                    <a:ln w="9525">
                      <a:noFill/>
                    </a:ln>
                  </pic:spPr>
                </pic:pic>
              </a:graphicData>
            </a:graphic>
          </wp:inline>
        </w:drawing>
      </w:r>
    </w:p>
    <w:p w14:paraId="59E41D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3268870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Style w:val="10"/>
          <w:rFonts w:hint="default" w:ascii="Verdana" w:hAnsi="Verdana" w:cs="Verdana"/>
          <w:i w:val="0"/>
          <w:iCs w:val="0"/>
          <w:caps w:val="0"/>
          <w:color w:val="FF8C00"/>
          <w:spacing w:val="0"/>
          <w:sz w:val="21"/>
          <w:szCs w:val="21"/>
          <w:shd w:val="clear" w:fill="FEFCFD"/>
        </w:rPr>
        <w:t>Equipment Specifications:</w:t>
      </w:r>
    </w:p>
    <w:p w14:paraId="7E09B22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Layout w:type="autofit"/>
        <w:tblCellMar>
          <w:top w:w="0" w:type="dxa"/>
          <w:left w:w="0" w:type="dxa"/>
          <w:bottom w:w="0" w:type="dxa"/>
          <w:right w:w="0" w:type="dxa"/>
        </w:tblCellMar>
      </w:tblPr>
      <w:tblGrid>
        <w:gridCol w:w="9750"/>
      </w:tblGrid>
      <w:tr w14:paraId="3E9CCC3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auto"/>
          <w:tblCellMar>
            <w:top w:w="0" w:type="dxa"/>
            <w:left w:w="0" w:type="dxa"/>
            <w:bottom w:w="0" w:type="dxa"/>
            <w:right w:w="0" w:type="dxa"/>
          </w:tblCellMar>
        </w:tblPrEx>
        <w:trPr>
          <w:tblCellSpacing w:w="0" w:type="dxa"/>
        </w:trPr>
        <w:tc>
          <w:tcPr>
            <w:tcW w:w="11475" w:type="dxa"/>
            <w:shd w:val="clear" w:color="auto" w:fill="auto"/>
            <w:vAlign w:val="center"/>
          </w:tcPr>
          <w:p w14:paraId="1D8C3ED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Dimension(W×L×H): 440mm×324mm×44mm</w:t>
            </w:r>
          </w:p>
        </w:tc>
      </w:tr>
      <w:tr w14:paraId="61F19D2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75" w:type="dxa"/>
            <w:shd w:val="clear" w:color="auto" w:fill="auto"/>
            <w:vAlign w:val="center"/>
          </w:tcPr>
          <w:p w14:paraId="645AF8FE">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Approx weight: 6kg</w:t>
            </w:r>
          </w:p>
        </w:tc>
      </w:tr>
      <w:tr w14:paraId="0217D1A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75" w:type="dxa"/>
            <w:shd w:val="clear" w:color="auto" w:fill="auto"/>
            <w:vAlign w:val="center"/>
          </w:tcPr>
          <w:p w14:paraId="455EC8C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Environment: 0~45℃(work); -20~80℃(Storage）</w:t>
            </w:r>
          </w:p>
        </w:tc>
      </w:tr>
      <w:tr w14:paraId="674323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11475" w:type="dxa"/>
            <w:shd w:val="clear" w:color="auto" w:fill="auto"/>
            <w:vAlign w:val="center"/>
          </w:tcPr>
          <w:p w14:paraId="04D2B91C">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t>Power requirements:  AC 110V± 10%, 50/60Hz, AC 220 ± 10%, 50/60Hz</w:t>
            </w:r>
          </w:p>
        </w:tc>
      </w:tr>
    </w:tbl>
    <w:p w14:paraId="24797514">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24" w:lineRule="atLeast"/>
        <w:ind w:left="0" w:right="0"/>
        <w:jc w:val="left"/>
      </w:pPr>
      <w:r>
        <w:rPr>
          <w:rFonts w:hint="default" w:ascii="Verdana" w:hAnsi="Verdana" w:cs="Verdana"/>
          <w:i w:val="0"/>
          <w:iCs w:val="0"/>
          <w:caps w:val="0"/>
          <w:color w:val="333333"/>
          <w:spacing w:val="0"/>
          <w:sz w:val="18"/>
          <w:szCs w:val="18"/>
          <w:shd w:val="clear" w:fill="FEFCFD"/>
        </w:rPr>
        <w:t> </w:t>
      </w:r>
    </w:p>
    <w:p w14:paraId="20C5244C">
      <w:pPr>
        <w:keepNext w:val="0"/>
        <w:keepLines w:val="0"/>
        <w:widowControl/>
        <w:suppressLineNumbers w:val="0"/>
        <w:shd w:val="clear" w:fill="F2F2F4"/>
        <w:spacing w:before="0" w:beforeAutospacing="0" w:after="0" w:afterAutospacing="0"/>
        <w:ind w:left="0" w:right="0" w:firstLine="0"/>
        <w:jc w:val="left"/>
        <w:rPr>
          <w:rFonts w:hint="default" w:ascii="Verdana" w:hAnsi="Verdana" w:cs="Verdana"/>
          <w:i w:val="0"/>
          <w:iCs w:val="0"/>
          <w:caps w:val="0"/>
          <w:color w:val="333333"/>
          <w:spacing w:val="0"/>
          <w:sz w:val="18"/>
          <w:szCs w:val="18"/>
        </w:rPr>
      </w:pPr>
    </w:p>
    <w:p w14:paraId="2A4FD934">
      <w:pPr>
        <w:rPr>
          <w:rFonts w:hint="default" w:ascii="Verdana" w:hAnsi="Verdana" w:cs="Verdana"/>
          <w:b w:val="0"/>
          <w:i w:val="0"/>
          <w:strike w:val="0"/>
          <w:color w:val="000000"/>
          <w:sz w:val="28"/>
          <w:lang w:val="en-US" w:eastAsia="zh-CN"/>
        </w:rPr>
      </w:pPr>
    </w:p>
    <w:p w14:paraId="3A54D6DC">
      <w:pPr>
        <w:rPr>
          <w:rFonts w:hint="eastAsia" w:ascii="Verdana" w:hAnsi="Verdana" w:cs="Verdana"/>
          <w:b/>
          <w:i w:val="0"/>
          <w:strike w:val="0"/>
          <w:color w:val="000000"/>
          <w:sz w:val="22"/>
          <w:lang w:val="en-US" w:eastAsia="zh-CN"/>
        </w:rPr>
      </w:pPr>
      <w:r>
        <w:rPr>
          <w:rFonts w:hint="eastAsia" w:ascii="Verdana" w:hAnsi="Verdana" w:cs="Verdana"/>
          <w:b/>
          <w:i w:val="0"/>
          <w:strike w:val="0"/>
          <w:color w:val="000000"/>
          <w:sz w:val="22"/>
          <w:lang w:val="en-US" w:eastAsia="zh-CN"/>
        </w:rPr>
        <w:t>About Us</w:t>
      </w:r>
    </w:p>
    <w:p w14:paraId="3D5FBFDD">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362B2667">
      <w:pPr>
        <w:rPr>
          <w:rFonts w:hint="eastAsia"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w:t>
      </w:r>
    </w:p>
    <w:p w14:paraId="638727C5">
      <w:pPr>
        <w:rPr>
          <w:rFonts w:hint="default" w:ascii="Verdana" w:hAnsi="Verdana" w:cs="Verdana"/>
          <w:b w:val="0"/>
          <w:i w:val="0"/>
          <w:strike w:val="0"/>
          <w:color w:val="000000"/>
          <w:sz w:val="18"/>
          <w:lang w:val="en-US" w:eastAsia="zh-CN"/>
        </w:rPr>
      </w:pPr>
      <w:r>
        <w:rPr>
          <w:rFonts w:hint="eastAsia" w:ascii="Verdana" w:hAnsi="Verdana" w:cs="Verdana"/>
          <w:b w:val="0"/>
          <w:i w:val="0"/>
          <w:strike w:val="0"/>
          <w:color w:val="000000"/>
          <w:sz w:val="18"/>
          <w:lang w:val="en-US" w:eastAsia="zh-CN"/>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auto"/>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006D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FCA6E9">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C5A63">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rPr>
        <w:rFonts w:hint="eastAsia" w:ascii="微软雅黑" w:hAnsi="微软雅黑" w:eastAsia="微软雅黑"/>
      </w:rPr>
      <w:fldChar w:fldCharType="begin"/>
    </w:r>
    <w:r>
      <w:rPr>
        <w:rFonts w:hint="eastAsia" w:ascii="微软雅黑" w:hAnsi="微软雅黑" w:eastAsia="微软雅黑"/>
      </w:rPr>
      <w:instrText xml:space="preserve"> HYPERLINK "mailto:sales@fmuser.com" </w:instrText>
    </w:r>
    <w:r>
      <w:rPr>
        <w:rFonts w:hint="eastAsia" w:ascii="微软雅黑" w:hAnsi="微软雅黑" w:eastAsia="微软雅黑"/>
      </w:rPr>
      <w:fldChar w:fldCharType="separate"/>
    </w:r>
    <w:r>
      <w:rPr>
        <w:rStyle w:val="12"/>
        <w:rFonts w:hint="eastAsia" w:ascii="微软雅黑" w:hAnsi="微软雅黑" w:eastAsia="微软雅黑"/>
      </w:rPr>
      <w:t>sales@fmuser.com</w:t>
    </w:r>
    <w:r>
      <w:rPr>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1BB7E2D"/>
    <w:rsid w:val="023760A9"/>
    <w:rsid w:val="033D434A"/>
    <w:rsid w:val="0A680B1B"/>
    <w:rsid w:val="0C7473FA"/>
    <w:rsid w:val="0DB347FE"/>
    <w:rsid w:val="0E714EC9"/>
    <w:rsid w:val="0FC87CEA"/>
    <w:rsid w:val="101C4557"/>
    <w:rsid w:val="15C25510"/>
    <w:rsid w:val="18AE427D"/>
    <w:rsid w:val="18E81EA3"/>
    <w:rsid w:val="1AE408C4"/>
    <w:rsid w:val="1B974A15"/>
    <w:rsid w:val="1CDC4CA0"/>
    <w:rsid w:val="1FCC39C5"/>
    <w:rsid w:val="20F61905"/>
    <w:rsid w:val="2199682E"/>
    <w:rsid w:val="239E3C7B"/>
    <w:rsid w:val="26F72B3A"/>
    <w:rsid w:val="27B55639"/>
    <w:rsid w:val="2A752F8B"/>
    <w:rsid w:val="2C665CEA"/>
    <w:rsid w:val="2E0F6BE8"/>
    <w:rsid w:val="314F3E41"/>
    <w:rsid w:val="3B533162"/>
    <w:rsid w:val="41D3366A"/>
    <w:rsid w:val="45872050"/>
    <w:rsid w:val="46D57A7D"/>
    <w:rsid w:val="47895309"/>
    <w:rsid w:val="478E224E"/>
    <w:rsid w:val="485E04E5"/>
    <w:rsid w:val="487316FE"/>
    <w:rsid w:val="49B75FAC"/>
    <w:rsid w:val="4E4A4BF6"/>
    <w:rsid w:val="4F8D25ED"/>
    <w:rsid w:val="50856A85"/>
    <w:rsid w:val="51AD130D"/>
    <w:rsid w:val="540A3FAB"/>
    <w:rsid w:val="562E484B"/>
    <w:rsid w:val="56834992"/>
    <w:rsid w:val="5930748A"/>
    <w:rsid w:val="59933671"/>
    <w:rsid w:val="5AA83521"/>
    <w:rsid w:val="5EEA5249"/>
    <w:rsid w:val="609213A6"/>
    <w:rsid w:val="61BA6334"/>
    <w:rsid w:val="63C27F07"/>
    <w:rsid w:val="687B436E"/>
    <w:rsid w:val="68AD6386"/>
    <w:rsid w:val="6D7A6503"/>
    <w:rsid w:val="70757613"/>
    <w:rsid w:val="70B756B4"/>
    <w:rsid w:val="73270F88"/>
    <w:rsid w:val="74455F31"/>
    <w:rsid w:val="7540100C"/>
    <w:rsid w:val="77885952"/>
    <w:rsid w:val="77935A18"/>
    <w:rsid w:val="7B8E7427"/>
    <w:rsid w:val="7EAE425E"/>
    <w:rsid w:val="7FDF1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3EEECN_20120713092005.gif" TargetMode="External"/><Relationship Id="rId8" Type="http://schemas.openxmlformats.org/officeDocument/2006/relationships/image" Target="media/image3.jpeg"/><Relationship Id="rId7" Type="http://schemas.openxmlformats.org/officeDocument/2006/relationships/hyperlink" Target="https://english.dsdvb.com/Upload/images/Product/Encoder/NEP100/3EEECN_20200902090206.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hyperlink" Target="https://english.dsdvb.com/Upload/images/Product/Encoder/NEP100/3EEECN_20200902091038.png" TargetMode="External"/><Relationship Id="rId14" Type="http://schemas.openxmlformats.org/officeDocument/2006/relationships/image" Target="media/image6.jpeg"/><Relationship Id="rId13" Type="http://schemas.openxmlformats.org/officeDocument/2006/relationships/hyperlink" Target="https://english.dsdvb.com/Upload/images/Product/Processor/DHP300/3EEECN_20200810084138.jpg" TargetMode="External"/><Relationship Id="rId12" Type="http://schemas.openxmlformats.org/officeDocument/2006/relationships/image" Target="media/image5.jpeg"/><Relationship Id="rId11" Type="http://schemas.openxmlformats.org/officeDocument/2006/relationships/hyperlink" Target="https://english.dsdvb.com/Upload/images/Product/Processor/3EEECN_20190627074410.jpg" TargetMode="External"/><Relationship Id="rId10" Type="http://schemas.openxmlformats.org/officeDocument/2006/relationships/image" Target="media/image4.GI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128</Words>
  <Characters>711</Characters>
  <Lines>4</Lines>
  <Paragraphs>1</Paragraphs>
  <TotalTime>27</TotalTime>
  <ScaleCrop>false</ScaleCrop>
  <LinksUpToDate>false</LinksUpToDate>
  <CharactersWithSpaces>837</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2025-08-20T02:13:34Z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