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6B5677">
      <w:pPr>
        <w:pStyle w:val="6"/>
        <w:widowControl/>
        <w:spacing w:beforeAutospacing="0" w:afterAutospacing="0" w:line="324" w:lineRule="atLeast"/>
        <w:ind w:left="424"/>
        <w:jc w:val="center"/>
      </w:pPr>
      <w:r>
        <w:rPr>
          <w:rFonts w:hint="eastAsia" w:ascii="Verdana" w:hAnsi="Verdana" w:cs="Verdana"/>
          <w:b/>
          <w:i w:val="0"/>
          <w:strike w:val="0"/>
          <w:color w:val="000000"/>
          <w:sz w:val="28"/>
          <w:lang w:eastAsia="zh-CN"/>
        </w:rPr>
        <w:t>FMUSER FUQ-200A 10G IP QAM Processor 64-128 DVB-C QAM Channels IP-to-QAM Conversion 3x SFP+-SFP Ports EN300 429 ITU-T J.83A-B-C Multiplexer Scrambler Modulator for Broadcast</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Systems</w:t>
      </w:r>
      <w:bookmarkStart w:id="0" w:name="_GoBack"/>
      <w:bookmarkEnd w:id="0"/>
      <w:r>
        <w:rPr>
          <w:rFonts w:hint="eastAsia" w:ascii="Verdana" w:hAnsi="Verdana" w:cs="Verdana"/>
          <w:b/>
          <w:i w:val="0"/>
          <w:strike w:val="0"/>
          <w:color w:val="000000"/>
          <w:sz w:val="28"/>
          <w:lang w:eastAsia="zh-CN"/>
        </w:rPr>
        <w:t xml:space="preserve"> </w:t>
      </w:r>
      <w:r>
        <w:rPr>
          <w:rFonts w:ascii="Verdana" w:hAnsi="Verdana" w:cs="Verdana"/>
          <w:color w:val="000000"/>
          <w:sz w:val="28"/>
        </w:rPr>
        <w:drawing>
          <wp:inline distT="0" distB="0" distL="114300" distR="114300">
            <wp:extent cx="6187440" cy="3401695"/>
            <wp:effectExtent l="0" t="0" r="3810" b="8255"/>
            <wp:docPr id="1" name="图片 1" descr="3EEECN_20221109104001"/>
            <wp:cNvGraphicFramePr/>
            <a:graphic xmlns:a="http://schemas.openxmlformats.org/drawingml/2006/main">
              <a:graphicData uri="http://schemas.openxmlformats.org/drawingml/2006/picture">
                <pic:pic xmlns:pic="http://schemas.openxmlformats.org/drawingml/2006/picture">
                  <pic:nvPicPr>
                    <pic:cNvPr id="1" name="图片 1" descr="3EEECN_20221109104001"/>
                    <pic:cNvPicPr/>
                  </pic:nvPicPr>
                  <pic:blipFill>
                    <a:blip r:embed="rId6"/>
                    <a:stretch>
                      <a:fillRect/>
                    </a:stretch>
                  </pic:blipFill>
                  <pic:spPr>
                    <a:xfrm>
                      <a:off x="0" y="0"/>
                      <a:ext cx="6187440" cy="3401695"/>
                    </a:xfrm>
                    <a:prstGeom prst="rect">
                      <a:avLst/>
                    </a:prstGeom>
                  </pic:spPr>
                </pic:pic>
              </a:graphicData>
            </a:graphic>
          </wp:inline>
        </w:drawing>
      </w:r>
      <w:r>
        <w:rPr>
          <w:rStyle w:val="10"/>
          <w:rFonts w:ascii="Verdana" w:hAnsi="Verdana" w:cs="Verdana"/>
          <w:color w:val="333333"/>
          <w:sz w:val="18"/>
          <w:szCs w:val="18"/>
          <w:shd w:val="clear" w:color="auto" w:fill="FEFCFD"/>
        </w:rPr>
        <w:t>Product Overview</w:t>
      </w:r>
    </w:p>
    <w:p w14:paraId="2B6FFDC9">
      <w:pPr>
        <w:pStyle w:val="6"/>
        <w:widowControl/>
        <w:spacing w:beforeAutospacing="0" w:afterAutospacing="0" w:line="324" w:lineRule="atLeast"/>
        <w:ind w:left="600"/>
      </w:pPr>
      <w:r>
        <w:rPr>
          <w:rFonts w:hint="eastAsia" w:ascii="Verdana" w:hAnsi="Verdana" w:cs="Verdana"/>
          <w:color w:val="333333"/>
          <w:sz w:val="18"/>
          <w:szCs w:val="18"/>
          <w:shd w:val="clear" w:color="auto" w:fill="FEFCFD"/>
          <w:lang w:eastAsia="zh-CN"/>
        </w:rPr>
        <w:t>The FMUSER FUQ-200C integrates multiplexer, scrambler, and modulator functions, delivering up to 128 DVB-C QAM channels via RF ports. It processes input signals through SFP+ ports, supporting TS over UDP/RTP and multicast protocols. Housed in a 1U chassis, it features web-based management for easy control. Ideal for broadcast systems requiring high-density signal processing.</w:t>
      </w:r>
      <w:r>
        <w:rPr>
          <w:rFonts w:ascii="Verdana" w:hAnsi="Verdana" w:cs="Verdana"/>
          <w:color w:val="333333"/>
          <w:sz w:val="18"/>
          <w:szCs w:val="18"/>
          <w:shd w:val="clear" w:color="auto" w:fill="FEFCFD"/>
        </w:rPr>
        <w:t>The device is equipped with 1 (or 2) 64ch QAM card and characterized with dual RF output ports on each card to broaden the bandwidth for QAM carriers. Its high density helps operators to save cost to the most extent.</w:t>
      </w:r>
    </w:p>
    <w:p w14:paraId="0958D397">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25B0FE9E">
      <w:pPr>
        <w:pStyle w:val="6"/>
        <w:widowControl/>
        <w:spacing w:beforeAutospacing="0" w:afterAutospacing="0" w:line="324" w:lineRule="atLeast"/>
        <w:ind w:left="424"/>
        <w:rPr>
          <w:rFonts w:hint="eastAsia"/>
        </w:rPr>
      </w:pPr>
      <w:r>
        <w:rPr>
          <w:rStyle w:val="10"/>
          <w:rFonts w:hint="eastAsia" w:ascii="Verdana" w:hAnsi="Verdana" w:cs="Verdana"/>
          <w:color w:val="333333"/>
          <w:sz w:val="18"/>
          <w:szCs w:val="18"/>
          <w:shd w:val="clear" w:color="auto" w:fill="FEFCFD"/>
          <w:lang w:eastAsia="zh-CN"/>
        </w:rPr>
        <w:t>Key feature</w:t>
      </w:r>
      <w:r>
        <w:rPr>
          <w:rFonts w:hint="eastAsia"/>
        </w:rPr>
        <w:t xml:space="preserve"> </w:t>
      </w:r>
    </w:p>
    <w:p w14:paraId="169A14A0">
      <w:pPr>
        <w:pStyle w:val="6"/>
        <w:widowControl/>
        <w:spacing w:beforeAutospacing="0" w:afterAutospacing="0" w:line="324" w:lineRule="atLeast"/>
        <w:ind w:left="600"/>
        <w:rPr>
          <w:rFonts w:hint="eastAsia"/>
        </w:rPr>
      </w:pPr>
      <w:r>
        <w:rPr>
          <w:rFonts w:hint="eastAsia"/>
        </w:rPr>
        <w:t xml:space="preserve">High-Density Design: Features a 1U chassis with plug-in cards for up to 128 non-adjacent carrier outputs.  </w:t>
      </w:r>
    </w:p>
    <w:p w14:paraId="1FA077AE">
      <w:pPr>
        <w:pStyle w:val="6"/>
        <w:widowControl/>
        <w:spacing w:beforeAutospacing="0" w:afterAutospacing="0" w:line="324" w:lineRule="atLeast"/>
        <w:ind w:left="600"/>
        <w:rPr>
          <w:rFonts w:hint="eastAsia"/>
        </w:rPr>
      </w:pPr>
      <w:r>
        <w:rPr>
          <w:rFonts w:hint="eastAsia"/>
        </w:rPr>
        <w:t xml:space="preserve">Advanced Processing: Supports multiplexing, scrambling with 6 CAS Simul-cryption, PCR adjusting, PID remapping, and PSI/SI editing.  </w:t>
      </w:r>
    </w:p>
    <w:p w14:paraId="455E4776">
      <w:pPr>
        <w:pStyle w:val="6"/>
        <w:widowControl/>
        <w:spacing w:beforeAutospacing="0" w:afterAutospacing="0" w:line="324" w:lineRule="atLeast"/>
        <w:ind w:left="600"/>
        <w:rPr>
          <w:rFonts w:hint="eastAsia"/>
        </w:rPr>
      </w:pPr>
      <w:r>
        <w:rPr>
          <w:rFonts w:hint="eastAsia"/>
        </w:rPr>
        <w:t xml:space="preserve">Flexible Interfaces: Includes 3 SFP+ (10G)/SFP (1G) ports for TS over UDP/RTP and multicast.  </w:t>
      </w:r>
    </w:p>
    <w:p w14:paraId="63179340">
      <w:pPr>
        <w:pStyle w:val="6"/>
        <w:widowControl/>
        <w:spacing w:beforeAutospacing="0" w:afterAutospacing="0" w:line="324" w:lineRule="atLeast"/>
        <w:ind w:left="600"/>
      </w:pPr>
      <w:r>
        <w:rPr>
          <w:rFonts w:hint="eastAsia"/>
        </w:rPr>
        <w:t xml:space="preserve">Web-Based Management: Enables easy monitoring and configuration via a network interface.  </w:t>
      </w:r>
    </w:p>
    <w:p w14:paraId="325AE6D8">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39EBAD37">
      <w:pPr>
        <w:pStyle w:val="6"/>
        <w:widowControl/>
        <w:spacing w:beforeAutospacing="0" w:afterAutospacing="0" w:line="324" w:lineRule="atLeast"/>
        <w:ind w:left="424"/>
      </w:pPr>
      <w:r>
        <w:rPr>
          <w:rStyle w:val="10"/>
          <w:rFonts w:ascii="Verdana" w:hAnsi="Verdana" w:cs="Verdana"/>
          <w:color w:val="333333"/>
          <w:sz w:val="18"/>
          <w:szCs w:val="18"/>
          <w:shd w:val="clear" w:color="auto" w:fill="FEFCFD"/>
        </w:rPr>
        <w:t>Inner Principle Chart (two cards)</w:t>
      </w:r>
    </w:p>
    <w:p w14:paraId="398B50D4">
      <w:pPr>
        <w:pStyle w:val="6"/>
        <w:widowControl/>
        <w:spacing w:beforeAutospacing="0" w:afterAutospacing="0" w:line="324" w:lineRule="atLeast"/>
        <w:ind w:left="424"/>
      </w:pPr>
      <w:r>
        <w:rPr>
          <w:rFonts w:ascii="Verdana" w:hAnsi="Verdana" w:cs="Verdana"/>
          <w:color w:val="333333"/>
          <w:sz w:val="18"/>
          <w:szCs w:val="18"/>
          <w:shd w:val="clear" w:color="auto" w:fill="FEFCFD"/>
        </w:rPr>
        <w:drawing>
          <wp:inline distT="0" distB="0" distL="114300" distR="114300">
            <wp:extent cx="6184265" cy="3916045"/>
            <wp:effectExtent l="0" t="0" r="6985" b="8255"/>
            <wp:docPr id="2"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IMG_256"/>
                    <pic:cNvPicPr>
                      <a:picLocks noChangeAspect="1"/>
                    </pic:cNvPicPr>
                  </pic:nvPicPr>
                  <pic:blipFill>
                    <a:blip r:embed="rId8"/>
                    <a:stretch>
                      <a:fillRect/>
                    </a:stretch>
                  </pic:blipFill>
                  <pic:spPr>
                    <a:xfrm>
                      <a:off x="0" y="0"/>
                      <a:ext cx="6184265" cy="3916045"/>
                    </a:xfrm>
                    <a:prstGeom prst="rect">
                      <a:avLst/>
                    </a:prstGeom>
                    <a:noFill/>
                    <a:ln w="9525">
                      <a:noFill/>
                    </a:ln>
                  </pic:spPr>
                </pic:pic>
              </a:graphicData>
            </a:graphic>
          </wp:inline>
        </w:drawing>
      </w:r>
    </w:p>
    <w:p w14:paraId="1CC4ABE7">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3AF27360">
      <w:pPr>
        <w:pStyle w:val="6"/>
        <w:widowControl/>
        <w:spacing w:beforeAutospacing="0" w:afterAutospacing="0" w:line="324" w:lineRule="atLeast"/>
        <w:ind w:left="424"/>
      </w:pPr>
      <w:r>
        <w:rPr>
          <w:rStyle w:val="10"/>
          <w:rFonts w:ascii="Verdana" w:hAnsi="Verdana" w:cs="Verdana"/>
          <w:color w:val="333333"/>
          <w:sz w:val="18"/>
          <w:szCs w:val="18"/>
          <w:shd w:val="clear" w:color="auto" w:fill="FEFCFD"/>
        </w:rPr>
        <w:t>Carrier Setting Illustration (per card)</w:t>
      </w:r>
    </w:p>
    <w:p w14:paraId="1D8BBC9D">
      <w:pPr>
        <w:pStyle w:val="6"/>
        <w:widowControl/>
        <w:spacing w:beforeAutospacing="0" w:afterAutospacing="0" w:line="324" w:lineRule="atLeast"/>
        <w:ind w:left="424"/>
      </w:pPr>
      <w:r>
        <w:rPr>
          <w:rFonts w:ascii="Verdana" w:hAnsi="Verdana" w:cs="Verdana"/>
          <w:color w:val="333333"/>
          <w:sz w:val="18"/>
          <w:szCs w:val="18"/>
          <w:shd w:val="clear" w:color="auto" w:fill="FEFCFD"/>
        </w:rPr>
        <w:drawing>
          <wp:inline distT="0" distB="0" distL="114300" distR="114300">
            <wp:extent cx="6186805" cy="1920240"/>
            <wp:effectExtent l="0" t="0" r="4445" b="3810"/>
            <wp:docPr id="3"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IMG_257"/>
                    <pic:cNvPicPr>
                      <a:picLocks noChangeAspect="1"/>
                    </pic:cNvPicPr>
                  </pic:nvPicPr>
                  <pic:blipFill>
                    <a:blip r:embed="rId10"/>
                    <a:stretch>
                      <a:fillRect/>
                    </a:stretch>
                  </pic:blipFill>
                  <pic:spPr>
                    <a:xfrm>
                      <a:off x="0" y="0"/>
                      <a:ext cx="6186805" cy="1920240"/>
                    </a:xfrm>
                    <a:prstGeom prst="rect">
                      <a:avLst/>
                    </a:prstGeom>
                    <a:noFill/>
                    <a:ln w="9525">
                      <a:noFill/>
                    </a:ln>
                  </pic:spPr>
                </pic:pic>
              </a:graphicData>
            </a:graphic>
          </wp:inline>
        </w:drawing>
      </w:r>
    </w:p>
    <w:p w14:paraId="7BE0AF64">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4BC24F66">
      <w:pPr>
        <w:pStyle w:val="6"/>
        <w:widowControl/>
        <w:spacing w:beforeAutospacing="0" w:afterAutospacing="0" w:line="324" w:lineRule="atLeast"/>
        <w:ind w:left="424"/>
      </w:pPr>
      <w:r>
        <w:rPr>
          <w:rStyle w:val="10"/>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1833"/>
        <w:gridCol w:w="2397"/>
        <w:gridCol w:w="1121"/>
        <w:gridCol w:w="4399"/>
      </w:tblGrid>
      <w:tr w14:paraId="4A0C6CA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restart"/>
            <w:shd w:val="clear" w:color="auto" w:fill="auto"/>
            <w:vAlign w:val="center"/>
          </w:tcPr>
          <w:p w14:paraId="0325D398">
            <w:pPr>
              <w:pStyle w:val="6"/>
              <w:widowControl/>
              <w:spacing w:beforeAutospacing="0" w:afterAutospacing="0" w:line="324" w:lineRule="atLeast"/>
            </w:pPr>
            <w:r>
              <w:rPr>
                <w:rStyle w:val="10"/>
              </w:rPr>
              <w:t>Input</w:t>
            </w:r>
          </w:p>
        </w:tc>
        <w:tc>
          <w:tcPr>
            <w:tcW w:w="2415" w:type="dxa"/>
            <w:shd w:val="clear" w:color="auto" w:fill="auto"/>
            <w:vAlign w:val="center"/>
          </w:tcPr>
          <w:p w14:paraId="3B58A3F6">
            <w:pPr>
              <w:pStyle w:val="6"/>
              <w:widowControl/>
              <w:spacing w:beforeAutospacing="0" w:afterAutospacing="0" w:line="324" w:lineRule="atLeast"/>
            </w:pPr>
            <w:r>
              <w:t>Input</w:t>
            </w:r>
          </w:p>
        </w:tc>
        <w:tc>
          <w:tcPr>
            <w:tcW w:w="5535" w:type="dxa"/>
            <w:gridSpan w:val="2"/>
            <w:shd w:val="clear" w:color="auto" w:fill="auto"/>
            <w:vAlign w:val="center"/>
          </w:tcPr>
          <w:p w14:paraId="5F53B677">
            <w:pPr>
              <w:pStyle w:val="6"/>
              <w:widowControl/>
              <w:spacing w:beforeAutospacing="0" w:afterAutospacing="0" w:line="324" w:lineRule="atLeast"/>
            </w:pPr>
            <w:r>
              <w:t>Max 512 IP in per card through SFP+/SFP ports 1-3</w:t>
            </w:r>
          </w:p>
        </w:tc>
      </w:tr>
      <w:tr w14:paraId="202402C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0FAD39B9">
            <w:pPr>
              <w:jc w:val="left"/>
              <w:rPr>
                <w:rFonts w:ascii="宋体"/>
                <w:sz w:val="24"/>
                <w:szCs w:val="24"/>
              </w:rPr>
            </w:pPr>
          </w:p>
        </w:tc>
        <w:tc>
          <w:tcPr>
            <w:tcW w:w="2415" w:type="dxa"/>
            <w:shd w:val="clear" w:color="auto" w:fill="auto"/>
            <w:vAlign w:val="center"/>
          </w:tcPr>
          <w:p w14:paraId="15EC6459">
            <w:pPr>
              <w:pStyle w:val="6"/>
              <w:widowControl/>
              <w:spacing w:beforeAutospacing="0" w:afterAutospacing="0" w:line="324" w:lineRule="atLeast"/>
            </w:pPr>
            <w:r>
              <w:t>Transmission Rate</w:t>
            </w:r>
          </w:p>
        </w:tc>
        <w:tc>
          <w:tcPr>
            <w:tcW w:w="5535" w:type="dxa"/>
            <w:gridSpan w:val="2"/>
            <w:shd w:val="clear" w:color="auto" w:fill="auto"/>
            <w:vAlign w:val="center"/>
          </w:tcPr>
          <w:p w14:paraId="68B32173">
            <w:pPr>
              <w:pStyle w:val="6"/>
              <w:widowControl/>
              <w:spacing w:beforeAutospacing="0" w:afterAutospacing="0" w:line="324" w:lineRule="atLeast"/>
            </w:pPr>
            <w:r>
              <w:t>Max 9600Mbps for each 10G SFP+/SFP input</w:t>
            </w:r>
          </w:p>
        </w:tc>
      </w:tr>
      <w:tr w14:paraId="26A029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01" w:hRule="atLeast"/>
          <w:tblCellSpacing w:w="0" w:type="dxa"/>
        </w:trPr>
        <w:tc>
          <w:tcPr>
            <w:tcW w:w="1845" w:type="dxa"/>
            <w:vMerge w:val="continue"/>
            <w:shd w:val="clear" w:color="auto" w:fill="auto"/>
            <w:vAlign w:val="center"/>
          </w:tcPr>
          <w:p w14:paraId="60ED417C">
            <w:pPr>
              <w:jc w:val="left"/>
              <w:rPr>
                <w:rFonts w:ascii="宋体"/>
                <w:sz w:val="24"/>
                <w:szCs w:val="24"/>
              </w:rPr>
            </w:pPr>
          </w:p>
        </w:tc>
        <w:tc>
          <w:tcPr>
            <w:tcW w:w="2415" w:type="dxa"/>
            <w:shd w:val="clear" w:color="auto" w:fill="auto"/>
            <w:vAlign w:val="center"/>
          </w:tcPr>
          <w:p w14:paraId="22AFF239">
            <w:pPr>
              <w:pStyle w:val="6"/>
              <w:widowControl/>
              <w:spacing w:beforeAutospacing="0" w:afterAutospacing="0" w:line="324" w:lineRule="atLeast"/>
            </w:pPr>
            <w:r>
              <w:t>Transport Protocol</w:t>
            </w:r>
          </w:p>
        </w:tc>
        <w:tc>
          <w:tcPr>
            <w:tcW w:w="5535" w:type="dxa"/>
            <w:gridSpan w:val="2"/>
            <w:shd w:val="clear" w:color="auto" w:fill="auto"/>
            <w:vAlign w:val="center"/>
          </w:tcPr>
          <w:p w14:paraId="06C6007E">
            <w:pPr>
              <w:pStyle w:val="6"/>
              <w:widowControl/>
              <w:spacing w:beforeAutospacing="0" w:afterAutospacing="0" w:line="324" w:lineRule="atLeast"/>
            </w:pPr>
            <w:r>
              <w:t>TS over UDP/RTP, unicast and multicast, IGMP V2/V3</w:t>
            </w:r>
          </w:p>
        </w:tc>
      </w:tr>
      <w:tr w14:paraId="79468BE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60" w:hRule="atLeast"/>
          <w:tblCellSpacing w:w="0" w:type="dxa"/>
        </w:trPr>
        <w:tc>
          <w:tcPr>
            <w:tcW w:w="1845" w:type="dxa"/>
            <w:vMerge w:val="restart"/>
            <w:shd w:val="clear" w:color="auto" w:fill="auto"/>
            <w:vAlign w:val="center"/>
          </w:tcPr>
          <w:p w14:paraId="6AC07135">
            <w:pPr>
              <w:pStyle w:val="6"/>
              <w:widowControl/>
              <w:spacing w:beforeAutospacing="0" w:afterAutospacing="0" w:line="324" w:lineRule="atLeast"/>
            </w:pPr>
            <w:r>
              <w:rPr>
                <w:rStyle w:val="10"/>
              </w:rPr>
              <w:t>Mux</w:t>
            </w:r>
          </w:p>
        </w:tc>
        <w:tc>
          <w:tcPr>
            <w:tcW w:w="2415" w:type="dxa"/>
            <w:shd w:val="clear" w:color="auto" w:fill="auto"/>
            <w:vAlign w:val="center"/>
          </w:tcPr>
          <w:p w14:paraId="3866EA8A">
            <w:pPr>
              <w:pStyle w:val="6"/>
              <w:widowControl/>
              <w:spacing w:beforeAutospacing="0" w:afterAutospacing="0" w:line="324" w:lineRule="atLeast"/>
            </w:pPr>
            <w:r>
              <w:t>Max PIDs Remapping</w:t>
            </w:r>
          </w:p>
        </w:tc>
        <w:tc>
          <w:tcPr>
            <w:tcW w:w="5535" w:type="dxa"/>
            <w:gridSpan w:val="2"/>
            <w:shd w:val="clear" w:color="auto" w:fill="auto"/>
            <w:vAlign w:val="center"/>
          </w:tcPr>
          <w:p w14:paraId="520015E8">
            <w:pPr>
              <w:pStyle w:val="6"/>
              <w:widowControl/>
              <w:spacing w:beforeAutospacing="0" w:afterAutospacing="0" w:line="324" w:lineRule="atLeast"/>
            </w:pPr>
            <w:r>
              <w:t>256 per output channel</w:t>
            </w:r>
          </w:p>
        </w:tc>
      </w:tr>
      <w:tr w14:paraId="27C0BDD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845" w:type="dxa"/>
            <w:vMerge w:val="continue"/>
            <w:shd w:val="clear" w:color="auto" w:fill="auto"/>
            <w:vAlign w:val="center"/>
          </w:tcPr>
          <w:p w14:paraId="2A2A42EF">
            <w:pPr>
              <w:jc w:val="left"/>
              <w:rPr>
                <w:rFonts w:ascii="宋体"/>
                <w:sz w:val="24"/>
                <w:szCs w:val="24"/>
              </w:rPr>
            </w:pPr>
          </w:p>
        </w:tc>
        <w:tc>
          <w:tcPr>
            <w:tcW w:w="2415" w:type="dxa"/>
            <w:vMerge w:val="restart"/>
            <w:shd w:val="clear" w:color="auto" w:fill="auto"/>
            <w:vAlign w:val="center"/>
          </w:tcPr>
          <w:p w14:paraId="6085E54A">
            <w:pPr>
              <w:pStyle w:val="6"/>
              <w:widowControl/>
              <w:spacing w:beforeAutospacing="0" w:afterAutospacing="0" w:line="324" w:lineRule="atLeast"/>
            </w:pPr>
            <w:r>
              <w:t>Functions</w:t>
            </w:r>
          </w:p>
        </w:tc>
        <w:tc>
          <w:tcPr>
            <w:tcW w:w="5535" w:type="dxa"/>
            <w:gridSpan w:val="2"/>
            <w:shd w:val="clear" w:color="auto" w:fill="auto"/>
            <w:vAlign w:val="center"/>
          </w:tcPr>
          <w:p w14:paraId="4358F2F9">
            <w:pPr>
              <w:pStyle w:val="6"/>
              <w:widowControl/>
              <w:spacing w:beforeAutospacing="0" w:afterAutospacing="0" w:line="324" w:lineRule="atLeast"/>
            </w:pPr>
            <w:r>
              <w:t>PID remapping (auto/manually optional)</w:t>
            </w:r>
          </w:p>
        </w:tc>
      </w:tr>
      <w:tr w14:paraId="71F689C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26" w:hRule="atLeast"/>
          <w:tblCellSpacing w:w="0" w:type="dxa"/>
        </w:trPr>
        <w:tc>
          <w:tcPr>
            <w:tcW w:w="1845" w:type="dxa"/>
            <w:vMerge w:val="continue"/>
            <w:shd w:val="clear" w:color="auto" w:fill="auto"/>
            <w:vAlign w:val="center"/>
          </w:tcPr>
          <w:p w14:paraId="33ADB441">
            <w:pPr>
              <w:jc w:val="left"/>
              <w:rPr>
                <w:rFonts w:ascii="宋体"/>
                <w:sz w:val="24"/>
                <w:szCs w:val="24"/>
              </w:rPr>
            </w:pPr>
          </w:p>
        </w:tc>
        <w:tc>
          <w:tcPr>
            <w:tcW w:w="2415" w:type="dxa"/>
            <w:vMerge w:val="continue"/>
            <w:shd w:val="clear" w:color="auto" w:fill="auto"/>
            <w:vAlign w:val="center"/>
          </w:tcPr>
          <w:p w14:paraId="6C098290">
            <w:pPr>
              <w:jc w:val="left"/>
              <w:rPr>
                <w:rFonts w:ascii="宋体"/>
                <w:sz w:val="24"/>
                <w:szCs w:val="24"/>
              </w:rPr>
            </w:pPr>
          </w:p>
        </w:tc>
        <w:tc>
          <w:tcPr>
            <w:tcW w:w="5535" w:type="dxa"/>
            <w:gridSpan w:val="2"/>
            <w:shd w:val="clear" w:color="auto" w:fill="auto"/>
            <w:vAlign w:val="center"/>
          </w:tcPr>
          <w:p w14:paraId="5441CB09">
            <w:pPr>
              <w:pStyle w:val="6"/>
              <w:widowControl/>
              <w:spacing w:beforeAutospacing="0" w:afterAutospacing="0" w:line="324" w:lineRule="atLeast"/>
            </w:pPr>
            <w:r>
              <w:t>PCR accurate adjusting</w:t>
            </w:r>
          </w:p>
        </w:tc>
      </w:tr>
      <w:tr w14:paraId="05772B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21" w:hRule="atLeast"/>
          <w:tblCellSpacing w:w="0" w:type="dxa"/>
        </w:trPr>
        <w:tc>
          <w:tcPr>
            <w:tcW w:w="1845" w:type="dxa"/>
            <w:vMerge w:val="continue"/>
            <w:shd w:val="clear" w:color="auto" w:fill="auto"/>
            <w:vAlign w:val="center"/>
          </w:tcPr>
          <w:p w14:paraId="06D400B0">
            <w:pPr>
              <w:jc w:val="left"/>
              <w:rPr>
                <w:rFonts w:ascii="宋体"/>
                <w:sz w:val="24"/>
                <w:szCs w:val="24"/>
              </w:rPr>
            </w:pPr>
          </w:p>
        </w:tc>
        <w:tc>
          <w:tcPr>
            <w:tcW w:w="2415" w:type="dxa"/>
            <w:vMerge w:val="continue"/>
            <w:shd w:val="clear" w:color="auto" w:fill="auto"/>
            <w:vAlign w:val="center"/>
          </w:tcPr>
          <w:p w14:paraId="45F8458B">
            <w:pPr>
              <w:jc w:val="left"/>
              <w:rPr>
                <w:rFonts w:ascii="宋体"/>
                <w:sz w:val="24"/>
                <w:szCs w:val="24"/>
              </w:rPr>
            </w:pPr>
          </w:p>
        </w:tc>
        <w:tc>
          <w:tcPr>
            <w:tcW w:w="5535" w:type="dxa"/>
            <w:gridSpan w:val="2"/>
            <w:shd w:val="clear" w:color="auto" w:fill="auto"/>
            <w:vAlign w:val="center"/>
          </w:tcPr>
          <w:p w14:paraId="26366C77">
            <w:pPr>
              <w:pStyle w:val="6"/>
              <w:widowControl/>
              <w:spacing w:beforeAutospacing="0" w:afterAutospacing="0" w:line="324" w:lineRule="atLeast"/>
            </w:pPr>
            <w:r>
              <w:t>PSI/SI table automatically generating</w:t>
            </w:r>
          </w:p>
        </w:tc>
      </w:tr>
      <w:tr w14:paraId="385F6B2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restart"/>
            <w:shd w:val="clear" w:color="auto" w:fill="auto"/>
            <w:vAlign w:val="center"/>
          </w:tcPr>
          <w:p w14:paraId="37569DCA">
            <w:pPr>
              <w:pStyle w:val="6"/>
              <w:widowControl/>
              <w:spacing w:beforeAutospacing="0" w:afterAutospacing="0" w:line="324" w:lineRule="atLeast"/>
            </w:pPr>
            <w:r>
              <w:rPr>
                <w:rStyle w:val="10"/>
              </w:rPr>
              <w:t>Scrambling</w:t>
            </w:r>
          </w:p>
        </w:tc>
        <w:tc>
          <w:tcPr>
            <w:tcW w:w="2415" w:type="dxa"/>
            <w:shd w:val="clear" w:color="auto" w:fill="auto"/>
            <w:vAlign w:val="center"/>
          </w:tcPr>
          <w:p w14:paraId="123027F1">
            <w:pPr>
              <w:pStyle w:val="6"/>
              <w:widowControl/>
              <w:spacing w:beforeAutospacing="0" w:afterAutospacing="0" w:line="324" w:lineRule="atLeast"/>
              <w:ind w:left="34"/>
            </w:pPr>
            <w:r>
              <w:t>Max simulcrypt CA</w:t>
            </w:r>
          </w:p>
        </w:tc>
        <w:tc>
          <w:tcPr>
            <w:tcW w:w="5520" w:type="dxa"/>
            <w:gridSpan w:val="2"/>
            <w:shd w:val="clear" w:color="auto" w:fill="auto"/>
            <w:vAlign w:val="center"/>
          </w:tcPr>
          <w:p w14:paraId="78FED1BB">
            <w:pPr>
              <w:pStyle w:val="6"/>
              <w:widowControl/>
              <w:spacing w:beforeAutospacing="0" w:afterAutospacing="0" w:line="324" w:lineRule="atLeast"/>
            </w:pPr>
            <w:r>
              <w:t>6</w:t>
            </w:r>
          </w:p>
        </w:tc>
      </w:tr>
      <w:tr w14:paraId="5EE98D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continue"/>
            <w:shd w:val="clear" w:color="auto" w:fill="auto"/>
            <w:vAlign w:val="center"/>
          </w:tcPr>
          <w:p w14:paraId="679E4C8C">
            <w:pPr>
              <w:jc w:val="left"/>
              <w:rPr>
                <w:rFonts w:ascii="宋体"/>
                <w:sz w:val="24"/>
                <w:szCs w:val="24"/>
              </w:rPr>
            </w:pPr>
          </w:p>
        </w:tc>
        <w:tc>
          <w:tcPr>
            <w:tcW w:w="2415" w:type="dxa"/>
            <w:shd w:val="clear" w:color="auto" w:fill="auto"/>
            <w:vAlign w:val="center"/>
          </w:tcPr>
          <w:p w14:paraId="6512FA3B">
            <w:pPr>
              <w:pStyle w:val="6"/>
              <w:widowControl/>
              <w:spacing w:beforeAutospacing="0" w:afterAutospacing="0" w:line="324" w:lineRule="atLeast"/>
              <w:ind w:left="34"/>
            </w:pPr>
            <w:r>
              <w:t>Scramble Standard</w:t>
            </w:r>
          </w:p>
        </w:tc>
        <w:tc>
          <w:tcPr>
            <w:tcW w:w="5520" w:type="dxa"/>
            <w:gridSpan w:val="2"/>
            <w:shd w:val="clear" w:color="auto" w:fill="auto"/>
            <w:vAlign w:val="center"/>
          </w:tcPr>
          <w:p w14:paraId="7D5C4751">
            <w:pPr>
              <w:pStyle w:val="6"/>
              <w:widowControl/>
              <w:spacing w:beforeAutospacing="0" w:afterAutospacing="0" w:line="324" w:lineRule="atLeast"/>
            </w:pPr>
            <w:r>
              <w:t>ETR289, ETSI 101 197, ETSI 103 197</w:t>
            </w:r>
          </w:p>
        </w:tc>
      </w:tr>
      <w:tr w14:paraId="4973207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75" w:hRule="atLeast"/>
          <w:tblCellSpacing w:w="0" w:type="dxa"/>
        </w:trPr>
        <w:tc>
          <w:tcPr>
            <w:tcW w:w="1845" w:type="dxa"/>
            <w:vMerge w:val="continue"/>
            <w:shd w:val="clear" w:color="auto" w:fill="auto"/>
            <w:vAlign w:val="center"/>
          </w:tcPr>
          <w:p w14:paraId="37E575F4">
            <w:pPr>
              <w:jc w:val="left"/>
              <w:rPr>
                <w:rFonts w:ascii="宋体"/>
                <w:sz w:val="24"/>
                <w:szCs w:val="24"/>
              </w:rPr>
            </w:pPr>
          </w:p>
        </w:tc>
        <w:tc>
          <w:tcPr>
            <w:tcW w:w="2415" w:type="dxa"/>
            <w:shd w:val="clear" w:color="auto" w:fill="auto"/>
            <w:vAlign w:val="center"/>
          </w:tcPr>
          <w:p w14:paraId="2B4AAEF6">
            <w:pPr>
              <w:pStyle w:val="6"/>
              <w:widowControl/>
              <w:spacing w:beforeAutospacing="0" w:afterAutospacing="0" w:line="324" w:lineRule="atLeast"/>
              <w:ind w:left="34"/>
            </w:pPr>
            <w:r>
              <w:t>Connection</w:t>
            </w:r>
          </w:p>
        </w:tc>
        <w:tc>
          <w:tcPr>
            <w:tcW w:w="5520" w:type="dxa"/>
            <w:gridSpan w:val="2"/>
            <w:shd w:val="clear" w:color="auto" w:fill="auto"/>
            <w:vAlign w:val="center"/>
          </w:tcPr>
          <w:p w14:paraId="6CFCADEA">
            <w:pPr>
              <w:pStyle w:val="6"/>
              <w:widowControl/>
              <w:spacing w:beforeAutospacing="0" w:afterAutospacing="0" w:line="324" w:lineRule="atLeast"/>
            </w:pPr>
            <w:r>
              <w:t>Local/remote connection</w:t>
            </w:r>
          </w:p>
        </w:tc>
      </w:tr>
      <w:tr w14:paraId="7836C0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90" w:hRule="atLeast"/>
          <w:tblCellSpacing w:w="0" w:type="dxa"/>
        </w:trPr>
        <w:tc>
          <w:tcPr>
            <w:tcW w:w="1845" w:type="dxa"/>
            <w:vMerge w:val="restart"/>
            <w:shd w:val="clear" w:color="auto" w:fill="auto"/>
            <w:vAlign w:val="center"/>
          </w:tcPr>
          <w:p w14:paraId="43FC9D16">
            <w:pPr>
              <w:pStyle w:val="6"/>
              <w:widowControl/>
              <w:spacing w:beforeAutospacing="0" w:afterAutospacing="0" w:line="324" w:lineRule="atLeast"/>
            </w:pPr>
            <w:r>
              <w:rPr>
                <w:rStyle w:val="10"/>
              </w:rPr>
              <w:t>Modulation</w:t>
            </w:r>
          </w:p>
        </w:tc>
        <w:tc>
          <w:tcPr>
            <w:tcW w:w="2415" w:type="dxa"/>
            <w:shd w:val="clear" w:color="auto" w:fill="auto"/>
            <w:vAlign w:val="center"/>
          </w:tcPr>
          <w:p w14:paraId="1FD2A99A">
            <w:pPr>
              <w:pStyle w:val="6"/>
              <w:widowControl/>
              <w:spacing w:beforeAutospacing="0" w:afterAutospacing="0" w:line="324" w:lineRule="atLeast"/>
              <w:ind w:left="34"/>
            </w:pPr>
            <w:r>
              <w:t>Modulation Standard</w:t>
            </w:r>
          </w:p>
        </w:tc>
        <w:tc>
          <w:tcPr>
            <w:tcW w:w="5520" w:type="dxa"/>
            <w:gridSpan w:val="2"/>
            <w:shd w:val="clear" w:color="auto" w:fill="auto"/>
            <w:vAlign w:val="center"/>
          </w:tcPr>
          <w:p w14:paraId="501E28F9">
            <w:pPr>
              <w:pStyle w:val="6"/>
              <w:widowControl/>
              <w:spacing w:beforeAutospacing="0" w:afterAutospacing="0" w:line="324" w:lineRule="atLeast"/>
            </w:pPr>
            <w:r>
              <w:t>EN300 429/ITU-T J.83A/B/C</w:t>
            </w:r>
          </w:p>
        </w:tc>
      </w:tr>
      <w:tr w14:paraId="2AC1943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06851900">
            <w:pPr>
              <w:jc w:val="left"/>
              <w:rPr>
                <w:rFonts w:ascii="宋体"/>
                <w:sz w:val="24"/>
                <w:szCs w:val="24"/>
              </w:rPr>
            </w:pPr>
          </w:p>
        </w:tc>
        <w:tc>
          <w:tcPr>
            <w:tcW w:w="2415" w:type="dxa"/>
            <w:vMerge w:val="restart"/>
            <w:shd w:val="clear" w:color="auto" w:fill="auto"/>
            <w:vAlign w:val="center"/>
          </w:tcPr>
          <w:p w14:paraId="710EFB31">
            <w:pPr>
              <w:pStyle w:val="6"/>
              <w:widowControl/>
              <w:spacing w:beforeAutospacing="0" w:afterAutospacing="0" w:line="324" w:lineRule="atLeast"/>
              <w:ind w:left="34"/>
            </w:pPr>
            <w:r>
              <w:t>Constellation</w:t>
            </w:r>
          </w:p>
        </w:tc>
        <w:tc>
          <w:tcPr>
            <w:tcW w:w="1125" w:type="dxa"/>
            <w:vMerge w:val="restart"/>
            <w:shd w:val="clear" w:color="auto" w:fill="auto"/>
            <w:vAlign w:val="center"/>
          </w:tcPr>
          <w:p w14:paraId="1FC37ABA">
            <w:pPr>
              <w:pStyle w:val="6"/>
              <w:widowControl/>
              <w:spacing w:beforeAutospacing="0" w:afterAutospacing="0" w:line="324" w:lineRule="atLeast"/>
              <w:ind w:left="105"/>
            </w:pPr>
            <w:r>
              <w:t>J.83A</w:t>
            </w:r>
          </w:p>
        </w:tc>
        <w:tc>
          <w:tcPr>
            <w:tcW w:w="4395" w:type="dxa"/>
            <w:shd w:val="clear" w:color="auto" w:fill="auto"/>
            <w:vAlign w:val="center"/>
          </w:tcPr>
          <w:p w14:paraId="0F25A997">
            <w:pPr>
              <w:pStyle w:val="6"/>
              <w:widowControl/>
              <w:spacing w:beforeAutospacing="0" w:afterAutospacing="0" w:line="324" w:lineRule="atLeast"/>
            </w:pPr>
            <w:r>
              <w:t>Constellation :16/32/64/128/256QAM</w:t>
            </w:r>
          </w:p>
        </w:tc>
      </w:tr>
      <w:tr w14:paraId="5F19CFA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2C87BF08">
            <w:pPr>
              <w:jc w:val="left"/>
              <w:rPr>
                <w:rFonts w:ascii="宋体"/>
                <w:sz w:val="24"/>
                <w:szCs w:val="24"/>
              </w:rPr>
            </w:pPr>
          </w:p>
        </w:tc>
        <w:tc>
          <w:tcPr>
            <w:tcW w:w="2415" w:type="dxa"/>
            <w:vMerge w:val="continue"/>
            <w:shd w:val="clear" w:color="auto" w:fill="auto"/>
            <w:vAlign w:val="center"/>
          </w:tcPr>
          <w:p w14:paraId="4C0BFA07">
            <w:pPr>
              <w:jc w:val="left"/>
              <w:rPr>
                <w:rFonts w:ascii="宋体"/>
                <w:sz w:val="24"/>
                <w:szCs w:val="24"/>
              </w:rPr>
            </w:pPr>
          </w:p>
        </w:tc>
        <w:tc>
          <w:tcPr>
            <w:tcW w:w="1125" w:type="dxa"/>
            <w:vMerge w:val="continue"/>
            <w:shd w:val="clear" w:color="auto" w:fill="auto"/>
            <w:vAlign w:val="center"/>
          </w:tcPr>
          <w:p w14:paraId="559301C4">
            <w:pPr>
              <w:jc w:val="left"/>
              <w:rPr>
                <w:rFonts w:ascii="宋体"/>
                <w:sz w:val="24"/>
                <w:szCs w:val="24"/>
              </w:rPr>
            </w:pPr>
          </w:p>
        </w:tc>
        <w:tc>
          <w:tcPr>
            <w:tcW w:w="4395" w:type="dxa"/>
            <w:shd w:val="clear" w:color="auto" w:fill="auto"/>
            <w:vAlign w:val="center"/>
          </w:tcPr>
          <w:p w14:paraId="126A973B">
            <w:pPr>
              <w:pStyle w:val="6"/>
              <w:widowControl/>
              <w:spacing w:beforeAutospacing="0" w:afterAutospacing="0" w:line="324" w:lineRule="atLeast"/>
            </w:pPr>
            <w:r>
              <w:t>Bandwidth :8M</w:t>
            </w:r>
          </w:p>
        </w:tc>
      </w:tr>
      <w:tr w14:paraId="622ED1F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164C3639">
            <w:pPr>
              <w:jc w:val="left"/>
              <w:rPr>
                <w:rFonts w:ascii="宋体"/>
                <w:sz w:val="24"/>
                <w:szCs w:val="24"/>
              </w:rPr>
            </w:pPr>
          </w:p>
        </w:tc>
        <w:tc>
          <w:tcPr>
            <w:tcW w:w="2415" w:type="dxa"/>
            <w:vMerge w:val="continue"/>
            <w:shd w:val="clear" w:color="auto" w:fill="auto"/>
            <w:vAlign w:val="center"/>
          </w:tcPr>
          <w:p w14:paraId="523E362D">
            <w:pPr>
              <w:jc w:val="left"/>
              <w:rPr>
                <w:rFonts w:ascii="宋体"/>
                <w:sz w:val="24"/>
                <w:szCs w:val="24"/>
              </w:rPr>
            </w:pPr>
          </w:p>
        </w:tc>
        <w:tc>
          <w:tcPr>
            <w:tcW w:w="1125" w:type="dxa"/>
            <w:vMerge w:val="restart"/>
            <w:shd w:val="clear" w:color="auto" w:fill="auto"/>
            <w:vAlign w:val="center"/>
          </w:tcPr>
          <w:p w14:paraId="7975E01A">
            <w:pPr>
              <w:pStyle w:val="6"/>
              <w:widowControl/>
              <w:spacing w:beforeAutospacing="0" w:afterAutospacing="0" w:line="324" w:lineRule="atLeast"/>
              <w:ind w:left="105"/>
            </w:pPr>
            <w:r>
              <w:t>J.83B/C</w:t>
            </w:r>
          </w:p>
        </w:tc>
        <w:tc>
          <w:tcPr>
            <w:tcW w:w="4395" w:type="dxa"/>
            <w:shd w:val="clear" w:color="auto" w:fill="auto"/>
            <w:vAlign w:val="center"/>
          </w:tcPr>
          <w:p w14:paraId="32D1D2D8">
            <w:pPr>
              <w:pStyle w:val="6"/>
              <w:widowControl/>
              <w:spacing w:beforeAutospacing="0" w:afterAutospacing="0" w:line="324" w:lineRule="atLeast"/>
            </w:pPr>
            <w:r>
              <w:t>Constellation :64/256QAM</w:t>
            </w:r>
          </w:p>
        </w:tc>
      </w:tr>
      <w:tr w14:paraId="53CCA7E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3C5342E5">
            <w:pPr>
              <w:jc w:val="left"/>
              <w:rPr>
                <w:rFonts w:ascii="宋体"/>
                <w:sz w:val="24"/>
                <w:szCs w:val="24"/>
              </w:rPr>
            </w:pPr>
          </w:p>
        </w:tc>
        <w:tc>
          <w:tcPr>
            <w:tcW w:w="2415" w:type="dxa"/>
            <w:vMerge w:val="continue"/>
            <w:shd w:val="clear" w:color="auto" w:fill="auto"/>
            <w:vAlign w:val="center"/>
          </w:tcPr>
          <w:p w14:paraId="218427CF">
            <w:pPr>
              <w:jc w:val="left"/>
              <w:rPr>
                <w:rFonts w:ascii="宋体"/>
                <w:sz w:val="24"/>
                <w:szCs w:val="24"/>
              </w:rPr>
            </w:pPr>
          </w:p>
        </w:tc>
        <w:tc>
          <w:tcPr>
            <w:tcW w:w="1125" w:type="dxa"/>
            <w:vMerge w:val="continue"/>
            <w:shd w:val="clear" w:color="auto" w:fill="auto"/>
            <w:vAlign w:val="center"/>
          </w:tcPr>
          <w:p w14:paraId="57915081">
            <w:pPr>
              <w:jc w:val="left"/>
              <w:rPr>
                <w:rFonts w:ascii="宋体"/>
                <w:sz w:val="24"/>
                <w:szCs w:val="24"/>
              </w:rPr>
            </w:pPr>
          </w:p>
        </w:tc>
        <w:tc>
          <w:tcPr>
            <w:tcW w:w="4395" w:type="dxa"/>
            <w:shd w:val="clear" w:color="auto" w:fill="auto"/>
            <w:vAlign w:val="center"/>
          </w:tcPr>
          <w:p w14:paraId="36CEB7E5">
            <w:pPr>
              <w:pStyle w:val="6"/>
              <w:widowControl/>
              <w:spacing w:beforeAutospacing="0" w:afterAutospacing="0" w:line="324" w:lineRule="atLeast"/>
            </w:pPr>
            <w:r>
              <w:t>Bandwidth :6M</w:t>
            </w:r>
          </w:p>
        </w:tc>
      </w:tr>
      <w:tr w14:paraId="482DC5D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86" w:hRule="atLeast"/>
          <w:tblCellSpacing w:w="0" w:type="dxa"/>
        </w:trPr>
        <w:tc>
          <w:tcPr>
            <w:tcW w:w="1845" w:type="dxa"/>
            <w:vMerge w:val="continue"/>
            <w:shd w:val="clear" w:color="auto" w:fill="auto"/>
            <w:vAlign w:val="center"/>
          </w:tcPr>
          <w:p w14:paraId="746D29A0">
            <w:pPr>
              <w:jc w:val="left"/>
              <w:rPr>
                <w:rFonts w:ascii="宋体"/>
                <w:sz w:val="24"/>
                <w:szCs w:val="24"/>
              </w:rPr>
            </w:pPr>
          </w:p>
        </w:tc>
        <w:tc>
          <w:tcPr>
            <w:tcW w:w="2415" w:type="dxa"/>
            <w:shd w:val="clear" w:color="auto" w:fill="auto"/>
            <w:vAlign w:val="center"/>
          </w:tcPr>
          <w:p w14:paraId="7A26F7DE">
            <w:pPr>
              <w:pStyle w:val="6"/>
              <w:widowControl/>
              <w:spacing w:beforeAutospacing="0" w:afterAutospacing="0" w:line="324" w:lineRule="atLeast"/>
              <w:ind w:left="34"/>
            </w:pPr>
            <w:r>
              <w:t>QAM Channel</w:t>
            </w:r>
          </w:p>
        </w:tc>
        <w:tc>
          <w:tcPr>
            <w:tcW w:w="5520" w:type="dxa"/>
            <w:gridSpan w:val="2"/>
            <w:shd w:val="clear" w:color="auto" w:fill="auto"/>
            <w:vAlign w:val="center"/>
          </w:tcPr>
          <w:p w14:paraId="4B0F6F91">
            <w:pPr>
              <w:pStyle w:val="6"/>
              <w:widowControl/>
              <w:spacing w:beforeAutospacing="0" w:afterAutospacing="0" w:line="324" w:lineRule="atLeast"/>
              <w:ind w:left="105"/>
            </w:pPr>
            <w:r>
              <w:t>64/128 non-adjacent carrier outputs, 384Mbps bandwidth for each RF port</w:t>
            </w:r>
          </w:p>
        </w:tc>
      </w:tr>
      <w:tr w14:paraId="76B4DB0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85" w:hRule="atLeast"/>
          <w:tblCellSpacing w:w="0" w:type="dxa"/>
        </w:trPr>
        <w:tc>
          <w:tcPr>
            <w:tcW w:w="1845" w:type="dxa"/>
            <w:vMerge w:val="continue"/>
            <w:shd w:val="clear" w:color="auto" w:fill="auto"/>
            <w:vAlign w:val="center"/>
          </w:tcPr>
          <w:p w14:paraId="1DADBC4C">
            <w:pPr>
              <w:jc w:val="left"/>
              <w:rPr>
                <w:rFonts w:ascii="宋体"/>
                <w:sz w:val="24"/>
                <w:szCs w:val="24"/>
              </w:rPr>
            </w:pPr>
          </w:p>
        </w:tc>
        <w:tc>
          <w:tcPr>
            <w:tcW w:w="2415" w:type="dxa"/>
            <w:shd w:val="clear" w:color="auto" w:fill="auto"/>
            <w:vAlign w:val="center"/>
          </w:tcPr>
          <w:p w14:paraId="3EFB4E6F">
            <w:pPr>
              <w:pStyle w:val="6"/>
              <w:widowControl/>
              <w:spacing w:beforeAutospacing="0" w:afterAutospacing="0" w:line="324" w:lineRule="atLeast"/>
              <w:ind w:left="34"/>
            </w:pPr>
            <w:r>
              <w:t>Symbol Rate</w:t>
            </w:r>
          </w:p>
        </w:tc>
        <w:tc>
          <w:tcPr>
            <w:tcW w:w="5520" w:type="dxa"/>
            <w:gridSpan w:val="2"/>
            <w:shd w:val="clear" w:color="auto" w:fill="auto"/>
            <w:vAlign w:val="center"/>
          </w:tcPr>
          <w:p w14:paraId="2EF1142D">
            <w:pPr>
              <w:pStyle w:val="6"/>
              <w:widowControl/>
              <w:spacing w:beforeAutospacing="0" w:afterAutospacing="0" w:line="324" w:lineRule="atLeast"/>
              <w:ind w:left="105"/>
            </w:pPr>
            <w:r>
              <w:t>3600~7000Ksps, 1ksps stepping</w:t>
            </w:r>
          </w:p>
          <w:p w14:paraId="62831848">
            <w:pPr>
              <w:pStyle w:val="6"/>
              <w:widowControl/>
              <w:spacing w:beforeAutospacing="0" w:afterAutospacing="0" w:line="324" w:lineRule="atLeast"/>
              <w:ind w:left="105"/>
            </w:pPr>
            <w:r>
              <w:t>5057Ksps (J.83B, 64QAM) ; 5361Ksps (J.83B, 256QAM)</w:t>
            </w:r>
          </w:p>
        </w:tc>
      </w:tr>
      <w:tr w14:paraId="41D936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04AED49C">
            <w:pPr>
              <w:jc w:val="left"/>
              <w:rPr>
                <w:rFonts w:ascii="宋体"/>
                <w:sz w:val="24"/>
                <w:szCs w:val="24"/>
              </w:rPr>
            </w:pPr>
          </w:p>
        </w:tc>
        <w:tc>
          <w:tcPr>
            <w:tcW w:w="2415" w:type="dxa"/>
            <w:shd w:val="clear" w:color="auto" w:fill="auto"/>
            <w:vAlign w:val="center"/>
          </w:tcPr>
          <w:p w14:paraId="0FEC9838">
            <w:pPr>
              <w:pStyle w:val="6"/>
              <w:widowControl/>
              <w:spacing w:beforeAutospacing="0" w:afterAutospacing="0" w:line="324" w:lineRule="atLeast"/>
              <w:ind w:left="34"/>
            </w:pPr>
            <w:r>
              <w:t>Constellation</w:t>
            </w:r>
          </w:p>
        </w:tc>
        <w:tc>
          <w:tcPr>
            <w:tcW w:w="5520" w:type="dxa"/>
            <w:gridSpan w:val="2"/>
            <w:shd w:val="clear" w:color="auto" w:fill="auto"/>
            <w:vAlign w:val="center"/>
          </w:tcPr>
          <w:p w14:paraId="2FAF8862">
            <w:pPr>
              <w:pStyle w:val="6"/>
              <w:widowControl/>
              <w:spacing w:beforeAutospacing="0" w:afterAutospacing="0" w:line="324" w:lineRule="atLeast"/>
              <w:ind w:left="105"/>
            </w:pPr>
            <w:r>
              <w:t>16, 32, 64 , 128, 256QAM</w:t>
            </w:r>
          </w:p>
        </w:tc>
      </w:tr>
      <w:tr w14:paraId="51F0DEF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241" w:hRule="atLeast"/>
          <w:tblCellSpacing w:w="0" w:type="dxa"/>
        </w:trPr>
        <w:tc>
          <w:tcPr>
            <w:tcW w:w="1845" w:type="dxa"/>
            <w:vMerge w:val="continue"/>
            <w:shd w:val="clear" w:color="auto" w:fill="auto"/>
            <w:vAlign w:val="center"/>
          </w:tcPr>
          <w:p w14:paraId="4D4E243B">
            <w:pPr>
              <w:jc w:val="left"/>
              <w:rPr>
                <w:rFonts w:ascii="宋体"/>
                <w:sz w:val="24"/>
                <w:szCs w:val="24"/>
              </w:rPr>
            </w:pPr>
          </w:p>
        </w:tc>
        <w:tc>
          <w:tcPr>
            <w:tcW w:w="2415" w:type="dxa"/>
            <w:shd w:val="clear" w:color="auto" w:fill="auto"/>
            <w:vAlign w:val="center"/>
          </w:tcPr>
          <w:p w14:paraId="1BD46949">
            <w:pPr>
              <w:pStyle w:val="6"/>
              <w:widowControl/>
              <w:spacing w:beforeAutospacing="0" w:afterAutospacing="0" w:line="324" w:lineRule="atLeast"/>
              <w:ind w:left="34"/>
            </w:pPr>
            <w:r>
              <w:t>FEC</w:t>
            </w:r>
          </w:p>
        </w:tc>
        <w:tc>
          <w:tcPr>
            <w:tcW w:w="5520" w:type="dxa"/>
            <w:gridSpan w:val="2"/>
            <w:shd w:val="clear" w:color="auto" w:fill="auto"/>
            <w:vAlign w:val="center"/>
          </w:tcPr>
          <w:p w14:paraId="41F0DB8A">
            <w:pPr>
              <w:pStyle w:val="6"/>
              <w:widowControl/>
              <w:spacing w:beforeAutospacing="0" w:afterAutospacing="0" w:line="324" w:lineRule="atLeast"/>
              <w:ind w:left="105"/>
            </w:pPr>
            <w:r>
              <w:t>RS (204, 188)</w:t>
            </w:r>
          </w:p>
        </w:tc>
      </w:tr>
      <w:tr w14:paraId="7F8AE3F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restart"/>
            <w:shd w:val="clear" w:color="auto" w:fill="auto"/>
            <w:vAlign w:val="center"/>
          </w:tcPr>
          <w:p w14:paraId="4AFB92DD">
            <w:pPr>
              <w:pStyle w:val="6"/>
              <w:widowControl/>
              <w:spacing w:beforeAutospacing="0" w:afterAutospacing="0" w:line="324" w:lineRule="atLeast"/>
            </w:pPr>
            <w:r>
              <w:rPr>
                <w:rStyle w:val="10"/>
              </w:rPr>
              <w:t>RF Output</w:t>
            </w:r>
          </w:p>
        </w:tc>
        <w:tc>
          <w:tcPr>
            <w:tcW w:w="2415" w:type="dxa"/>
            <w:shd w:val="clear" w:color="auto" w:fill="auto"/>
            <w:vAlign w:val="center"/>
          </w:tcPr>
          <w:p w14:paraId="37B67540">
            <w:pPr>
              <w:pStyle w:val="6"/>
              <w:widowControl/>
              <w:spacing w:beforeAutospacing="0" w:afterAutospacing="0" w:line="324" w:lineRule="atLeast"/>
              <w:ind w:left="34"/>
            </w:pPr>
            <w:r>
              <w:t>Interface (per card)</w:t>
            </w:r>
          </w:p>
        </w:tc>
        <w:tc>
          <w:tcPr>
            <w:tcW w:w="5535" w:type="dxa"/>
            <w:gridSpan w:val="2"/>
            <w:shd w:val="clear" w:color="auto" w:fill="auto"/>
            <w:vAlign w:val="center"/>
          </w:tcPr>
          <w:p w14:paraId="50A1D5C3">
            <w:pPr>
              <w:pStyle w:val="6"/>
              <w:widowControl/>
              <w:spacing w:beforeAutospacing="0" w:afterAutospacing="0" w:line="324" w:lineRule="atLeast"/>
              <w:ind w:left="105"/>
            </w:pPr>
            <w:r>
              <w:t>2 F type output ports for 64 carriers, 75Ω</w:t>
            </w:r>
          </w:p>
          <w:p w14:paraId="26E9D7E2">
            <w:pPr>
              <w:pStyle w:val="6"/>
              <w:widowControl/>
              <w:spacing w:beforeAutospacing="0" w:afterAutospacing="0" w:line="324" w:lineRule="atLeast"/>
              <w:ind w:left="105"/>
            </w:pPr>
            <w:r>
              <w:t>Carrier 1~32 out thru RF1, 33~64 thru RF2</w:t>
            </w:r>
          </w:p>
        </w:tc>
      </w:tr>
      <w:tr w14:paraId="0E2F43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26FC5BB1">
            <w:pPr>
              <w:jc w:val="left"/>
              <w:rPr>
                <w:rFonts w:ascii="宋体"/>
                <w:sz w:val="24"/>
                <w:szCs w:val="24"/>
              </w:rPr>
            </w:pPr>
          </w:p>
        </w:tc>
        <w:tc>
          <w:tcPr>
            <w:tcW w:w="2415" w:type="dxa"/>
            <w:shd w:val="clear" w:color="auto" w:fill="auto"/>
            <w:vAlign w:val="center"/>
          </w:tcPr>
          <w:p w14:paraId="631D2633">
            <w:pPr>
              <w:pStyle w:val="6"/>
              <w:widowControl/>
              <w:spacing w:beforeAutospacing="0" w:afterAutospacing="0" w:line="324" w:lineRule="atLeast"/>
              <w:ind w:left="34"/>
            </w:pPr>
            <w:r>
              <w:t>RF Range</w:t>
            </w:r>
          </w:p>
        </w:tc>
        <w:tc>
          <w:tcPr>
            <w:tcW w:w="5535" w:type="dxa"/>
            <w:gridSpan w:val="2"/>
            <w:shd w:val="clear" w:color="auto" w:fill="auto"/>
            <w:vAlign w:val="center"/>
          </w:tcPr>
          <w:p w14:paraId="47E04C13">
            <w:pPr>
              <w:pStyle w:val="6"/>
              <w:widowControl/>
              <w:spacing w:beforeAutospacing="0" w:afterAutospacing="0" w:line="324" w:lineRule="atLeast"/>
              <w:ind w:left="105"/>
            </w:pPr>
            <w:r>
              <w:t>50~960MHz, 1kHz stepping</w:t>
            </w:r>
          </w:p>
        </w:tc>
      </w:tr>
      <w:tr w14:paraId="1BCBA64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16" w:hRule="atLeast"/>
          <w:tblCellSpacing w:w="0" w:type="dxa"/>
        </w:trPr>
        <w:tc>
          <w:tcPr>
            <w:tcW w:w="1845" w:type="dxa"/>
            <w:vMerge w:val="continue"/>
            <w:shd w:val="clear" w:color="auto" w:fill="auto"/>
            <w:vAlign w:val="center"/>
          </w:tcPr>
          <w:p w14:paraId="057E402A">
            <w:pPr>
              <w:jc w:val="left"/>
              <w:rPr>
                <w:rFonts w:ascii="宋体"/>
                <w:sz w:val="24"/>
                <w:szCs w:val="24"/>
              </w:rPr>
            </w:pPr>
          </w:p>
        </w:tc>
        <w:tc>
          <w:tcPr>
            <w:tcW w:w="2415" w:type="dxa"/>
            <w:shd w:val="clear" w:color="auto" w:fill="auto"/>
            <w:vAlign w:val="center"/>
          </w:tcPr>
          <w:p w14:paraId="6B533018">
            <w:pPr>
              <w:pStyle w:val="6"/>
              <w:widowControl/>
              <w:spacing w:beforeAutospacing="0" w:afterAutospacing="0" w:line="324" w:lineRule="atLeast"/>
              <w:ind w:left="34"/>
            </w:pPr>
            <w:r>
              <w:t>Output Level</w:t>
            </w:r>
          </w:p>
        </w:tc>
        <w:tc>
          <w:tcPr>
            <w:tcW w:w="5535" w:type="dxa"/>
            <w:gridSpan w:val="2"/>
            <w:shd w:val="clear" w:color="auto" w:fill="auto"/>
            <w:vAlign w:val="center"/>
          </w:tcPr>
          <w:p w14:paraId="08989ED7">
            <w:pPr>
              <w:pStyle w:val="6"/>
              <w:widowControl/>
              <w:spacing w:beforeAutospacing="0" w:afterAutospacing="0" w:line="324" w:lineRule="atLeast"/>
              <w:ind w:left="105"/>
            </w:pPr>
            <w:r>
              <w:t>-20dBm~+10dBm(87~117dbµV), 0.1dB stepping</w:t>
            </w:r>
          </w:p>
        </w:tc>
      </w:tr>
      <w:tr w14:paraId="1864A7A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30" w:hRule="atLeast"/>
          <w:tblCellSpacing w:w="0" w:type="dxa"/>
        </w:trPr>
        <w:tc>
          <w:tcPr>
            <w:tcW w:w="1845" w:type="dxa"/>
            <w:vMerge w:val="continue"/>
            <w:shd w:val="clear" w:color="auto" w:fill="auto"/>
            <w:vAlign w:val="center"/>
          </w:tcPr>
          <w:p w14:paraId="206C464F">
            <w:pPr>
              <w:jc w:val="left"/>
              <w:rPr>
                <w:rFonts w:ascii="宋体"/>
                <w:sz w:val="24"/>
                <w:szCs w:val="24"/>
              </w:rPr>
            </w:pPr>
          </w:p>
        </w:tc>
        <w:tc>
          <w:tcPr>
            <w:tcW w:w="2415" w:type="dxa"/>
            <w:shd w:val="clear" w:color="auto" w:fill="auto"/>
            <w:vAlign w:val="center"/>
          </w:tcPr>
          <w:p w14:paraId="20F157AF">
            <w:pPr>
              <w:pStyle w:val="6"/>
              <w:widowControl/>
              <w:spacing w:beforeAutospacing="0" w:afterAutospacing="0" w:line="324" w:lineRule="atLeast"/>
              <w:ind w:left="34"/>
            </w:pPr>
            <w:r>
              <w:t>MER</w:t>
            </w:r>
          </w:p>
        </w:tc>
        <w:tc>
          <w:tcPr>
            <w:tcW w:w="5535" w:type="dxa"/>
            <w:gridSpan w:val="2"/>
            <w:shd w:val="clear" w:color="auto" w:fill="auto"/>
            <w:vAlign w:val="center"/>
          </w:tcPr>
          <w:p w14:paraId="5B9AE2CF">
            <w:pPr>
              <w:pStyle w:val="6"/>
              <w:widowControl/>
              <w:spacing w:beforeAutospacing="0" w:afterAutospacing="0" w:line="324" w:lineRule="atLeast"/>
              <w:ind w:left="105"/>
            </w:pPr>
            <w:r>
              <w:t>≥ 40dB</w:t>
            </w:r>
          </w:p>
        </w:tc>
      </w:tr>
      <w:tr w14:paraId="4964D24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1110" w:hRule="atLeast"/>
          <w:tblCellSpacing w:w="0" w:type="dxa"/>
        </w:trPr>
        <w:tc>
          <w:tcPr>
            <w:tcW w:w="1845" w:type="dxa"/>
            <w:shd w:val="clear" w:color="auto" w:fill="auto"/>
            <w:vAlign w:val="center"/>
          </w:tcPr>
          <w:p w14:paraId="5FDF0744">
            <w:pPr>
              <w:pStyle w:val="6"/>
              <w:widowControl/>
              <w:spacing w:beforeAutospacing="0" w:afterAutospacing="0" w:line="324" w:lineRule="atLeast"/>
            </w:pPr>
            <w:r>
              <w:rPr>
                <w:rStyle w:val="10"/>
              </w:rPr>
              <w:t>TS output</w:t>
            </w:r>
          </w:p>
        </w:tc>
        <w:tc>
          <w:tcPr>
            <w:tcW w:w="2415" w:type="dxa"/>
            <w:shd w:val="clear" w:color="auto" w:fill="auto"/>
            <w:vAlign w:val="center"/>
          </w:tcPr>
          <w:p w14:paraId="4A74B3CF">
            <w:pPr>
              <w:pStyle w:val="6"/>
              <w:widowControl/>
              <w:spacing w:beforeAutospacing="0" w:afterAutospacing="0" w:line="324" w:lineRule="atLeast"/>
              <w:ind w:left="34"/>
            </w:pPr>
            <w:r>
              <w:t>Per Daughter QAM Card</w:t>
            </w:r>
          </w:p>
        </w:tc>
        <w:tc>
          <w:tcPr>
            <w:tcW w:w="5535" w:type="dxa"/>
            <w:gridSpan w:val="2"/>
            <w:shd w:val="clear" w:color="auto" w:fill="auto"/>
            <w:vAlign w:val="center"/>
          </w:tcPr>
          <w:p w14:paraId="59A0A163">
            <w:pPr>
              <w:pStyle w:val="6"/>
              <w:widowControl/>
              <w:spacing w:beforeAutospacing="0" w:afterAutospacing="0" w:line="324" w:lineRule="atLeast"/>
              <w:ind w:left="34"/>
            </w:pPr>
            <w:r>
              <w:t>64 IP output over UDP/RTP/RTSP, unicast/multicast,</w:t>
            </w:r>
          </w:p>
          <w:p w14:paraId="45C58F3D">
            <w:pPr>
              <w:pStyle w:val="6"/>
              <w:widowControl/>
              <w:spacing w:beforeAutospacing="0" w:afterAutospacing="0" w:line="324" w:lineRule="atLeast"/>
              <w:ind w:left="34"/>
            </w:pPr>
            <w:r>
              <w:t>through SFP+/SFP ports 1-3</w:t>
            </w:r>
          </w:p>
        </w:tc>
      </w:tr>
      <w:tr w14:paraId="7B857F2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shd w:val="clear" w:color="auto" w:fill="auto"/>
            <w:vAlign w:val="center"/>
          </w:tcPr>
          <w:p w14:paraId="45A7AEFE">
            <w:pPr>
              <w:pStyle w:val="6"/>
              <w:widowControl/>
              <w:spacing w:beforeAutospacing="0" w:afterAutospacing="0" w:line="324" w:lineRule="atLeast"/>
            </w:pPr>
            <w:r>
              <w:rPr>
                <w:rStyle w:val="10"/>
              </w:rPr>
              <w:t>System</w:t>
            </w:r>
          </w:p>
        </w:tc>
        <w:tc>
          <w:tcPr>
            <w:tcW w:w="7935" w:type="dxa"/>
            <w:gridSpan w:val="3"/>
            <w:shd w:val="clear" w:color="auto" w:fill="auto"/>
            <w:vAlign w:val="center"/>
          </w:tcPr>
          <w:p w14:paraId="7864931F">
            <w:pPr>
              <w:pStyle w:val="6"/>
              <w:widowControl/>
              <w:spacing w:beforeAutospacing="0" w:afterAutospacing="0" w:line="324" w:lineRule="atLeast"/>
              <w:ind w:left="34"/>
            </w:pPr>
            <w:r>
              <w:t>Web-based Network management</w:t>
            </w:r>
          </w:p>
        </w:tc>
      </w:tr>
      <w:tr w14:paraId="40B065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restart"/>
            <w:shd w:val="clear" w:color="auto" w:fill="auto"/>
            <w:vAlign w:val="center"/>
          </w:tcPr>
          <w:p w14:paraId="1A976BDF">
            <w:pPr>
              <w:pStyle w:val="6"/>
              <w:widowControl/>
              <w:spacing w:beforeAutospacing="0" w:afterAutospacing="0" w:line="324" w:lineRule="atLeast"/>
            </w:pPr>
            <w:r>
              <w:rPr>
                <w:rStyle w:val="10"/>
              </w:rPr>
              <w:t>General</w:t>
            </w:r>
          </w:p>
        </w:tc>
        <w:tc>
          <w:tcPr>
            <w:tcW w:w="2415" w:type="dxa"/>
            <w:shd w:val="clear" w:color="auto" w:fill="auto"/>
            <w:vAlign w:val="center"/>
          </w:tcPr>
          <w:p w14:paraId="73B0F968">
            <w:pPr>
              <w:pStyle w:val="6"/>
              <w:widowControl/>
              <w:spacing w:beforeAutospacing="0" w:afterAutospacing="0" w:line="324" w:lineRule="atLeast"/>
              <w:ind w:left="34"/>
            </w:pPr>
            <w:r>
              <w:t>Dimension</w:t>
            </w:r>
          </w:p>
        </w:tc>
        <w:tc>
          <w:tcPr>
            <w:tcW w:w="5535" w:type="dxa"/>
            <w:gridSpan w:val="2"/>
            <w:shd w:val="clear" w:color="auto" w:fill="auto"/>
            <w:vAlign w:val="center"/>
          </w:tcPr>
          <w:p w14:paraId="71E4E0C9">
            <w:pPr>
              <w:pStyle w:val="6"/>
              <w:widowControl/>
              <w:spacing w:beforeAutospacing="0" w:afterAutospacing="0" w:line="324" w:lineRule="atLeast"/>
              <w:ind w:left="34"/>
            </w:pPr>
            <w:r>
              <w:t>420mm×440mm×44.5mm (WxLxH)</w:t>
            </w:r>
          </w:p>
        </w:tc>
      </w:tr>
      <w:tr w14:paraId="62702EB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13F8F358">
            <w:pPr>
              <w:jc w:val="left"/>
              <w:rPr>
                <w:rFonts w:ascii="宋体"/>
                <w:sz w:val="24"/>
                <w:szCs w:val="24"/>
              </w:rPr>
            </w:pPr>
          </w:p>
        </w:tc>
        <w:tc>
          <w:tcPr>
            <w:tcW w:w="2415" w:type="dxa"/>
            <w:shd w:val="clear" w:color="auto" w:fill="auto"/>
            <w:vAlign w:val="center"/>
          </w:tcPr>
          <w:p w14:paraId="34B94904">
            <w:pPr>
              <w:pStyle w:val="6"/>
              <w:widowControl/>
              <w:spacing w:beforeAutospacing="0" w:afterAutospacing="0" w:line="324" w:lineRule="atLeast"/>
              <w:ind w:left="34"/>
            </w:pPr>
            <w:r>
              <w:t>Temperature</w:t>
            </w:r>
          </w:p>
        </w:tc>
        <w:tc>
          <w:tcPr>
            <w:tcW w:w="5535" w:type="dxa"/>
            <w:gridSpan w:val="2"/>
            <w:shd w:val="clear" w:color="auto" w:fill="auto"/>
            <w:vAlign w:val="center"/>
          </w:tcPr>
          <w:p w14:paraId="14E06A03">
            <w:pPr>
              <w:pStyle w:val="6"/>
              <w:widowControl/>
              <w:spacing w:beforeAutospacing="0" w:afterAutospacing="0" w:line="324" w:lineRule="atLeast"/>
              <w:ind w:left="34"/>
            </w:pPr>
            <w:r>
              <w:t>0~45℃(operation), -20~80℃(storage)</w:t>
            </w:r>
          </w:p>
        </w:tc>
      </w:tr>
      <w:tr w14:paraId="501B805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441F721C">
            <w:pPr>
              <w:jc w:val="left"/>
              <w:rPr>
                <w:rFonts w:ascii="宋体"/>
                <w:sz w:val="24"/>
                <w:szCs w:val="24"/>
              </w:rPr>
            </w:pPr>
          </w:p>
        </w:tc>
        <w:tc>
          <w:tcPr>
            <w:tcW w:w="2415" w:type="dxa"/>
            <w:shd w:val="clear" w:color="auto" w:fill="auto"/>
            <w:vAlign w:val="center"/>
          </w:tcPr>
          <w:p w14:paraId="172D08C4">
            <w:pPr>
              <w:pStyle w:val="6"/>
              <w:widowControl/>
              <w:spacing w:beforeAutospacing="0" w:afterAutospacing="0" w:line="324" w:lineRule="atLeast"/>
              <w:ind w:left="34"/>
            </w:pPr>
            <w:r>
              <w:t>Power Supply</w:t>
            </w:r>
          </w:p>
        </w:tc>
        <w:tc>
          <w:tcPr>
            <w:tcW w:w="0" w:type="auto"/>
            <w:gridSpan w:val="2"/>
            <w:shd w:val="clear" w:color="auto" w:fill="auto"/>
            <w:vAlign w:val="center"/>
          </w:tcPr>
          <w:p w14:paraId="4FC011A4">
            <w:pPr>
              <w:pStyle w:val="6"/>
              <w:widowControl/>
              <w:spacing w:beforeAutospacing="0" w:afterAutospacing="0" w:line="324" w:lineRule="atLeast"/>
            </w:pPr>
            <w:r>
              <w:t>AC 100V±10%, 50/60Hz; or AC 220V±10%, 50/60Hz</w:t>
            </w:r>
          </w:p>
          <w:p w14:paraId="23C023E6">
            <w:pPr>
              <w:pStyle w:val="6"/>
              <w:widowControl/>
              <w:spacing w:beforeAutospacing="0" w:afterAutospacing="0" w:line="324" w:lineRule="atLeast"/>
            </w:pPr>
            <w:r>
              <w:t>Redundancy power supply (optional as per order)</w:t>
            </w:r>
          </w:p>
        </w:tc>
      </w:tr>
      <w:tr w14:paraId="6A3B7AF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345" w:hRule="atLeast"/>
          <w:tblCellSpacing w:w="0" w:type="dxa"/>
        </w:trPr>
        <w:tc>
          <w:tcPr>
            <w:tcW w:w="1845" w:type="dxa"/>
            <w:vMerge w:val="continue"/>
            <w:shd w:val="clear" w:color="auto" w:fill="auto"/>
            <w:vAlign w:val="center"/>
          </w:tcPr>
          <w:p w14:paraId="13D25711">
            <w:pPr>
              <w:jc w:val="left"/>
              <w:rPr>
                <w:rFonts w:ascii="宋体"/>
                <w:sz w:val="24"/>
                <w:szCs w:val="24"/>
              </w:rPr>
            </w:pPr>
          </w:p>
        </w:tc>
        <w:tc>
          <w:tcPr>
            <w:tcW w:w="2415" w:type="dxa"/>
            <w:shd w:val="clear" w:color="auto" w:fill="auto"/>
            <w:vAlign w:val="center"/>
          </w:tcPr>
          <w:p w14:paraId="0DC12B88">
            <w:pPr>
              <w:pStyle w:val="6"/>
              <w:widowControl/>
              <w:spacing w:beforeAutospacing="0" w:afterAutospacing="0" w:line="324" w:lineRule="atLeast"/>
              <w:ind w:left="34"/>
            </w:pPr>
            <w:r>
              <w:t>Consumption</w:t>
            </w:r>
          </w:p>
        </w:tc>
        <w:tc>
          <w:tcPr>
            <w:tcW w:w="5535" w:type="dxa"/>
            <w:gridSpan w:val="2"/>
            <w:shd w:val="clear" w:color="auto" w:fill="auto"/>
            <w:vAlign w:val="center"/>
          </w:tcPr>
          <w:p w14:paraId="60ECF11E">
            <w:pPr>
              <w:pStyle w:val="6"/>
              <w:widowControl/>
              <w:spacing w:beforeAutospacing="0" w:afterAutospacing="0" w:line="324" w:lineRule="atLeast"/>
            </w:pPr>
            <w:r>
              <w:t>50W(1 daughter QAM card)/75W(2 daughter QAM cards)</w:t>
            </w:r>
          </w:p>
        </w:tc>
      </w:tr>
    </w:tbl>
    <w:p w14:paraId="3E262159">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7A0A6576">
      <w:pPr>
        <w:pStyle w:val="6"/>
        <w:widowControl/>
        <w:spacing w:beforeAutospacing="0" w:afterAutospacing="0" w:line="324" w:lineRule="atLeast"/>
        <w:ind w:left="424"/>
      </w:pPr>
      <w:r>
        <w:rPr>
          <w:rFonts w:ascii="Verdana" w:hAnsi="Verdana" w:cs="Verdana"/>
          <w:color w:val="333333"/>
          <w:sz w:val="18"/>
          <w:szCs w:val="18"/>
          <w:shd w:val="clear" w:color="auto" w:fill="FEFCFD"/>
        </w:rPr>
        <w:t> </w:t>
      </w:r>
    </w:p>
    <w:p w14:paraId="4FFDAD4E">
      <w:pPr>
        <w:widowControl/>
        <w:shd w:val="clear" w:color="auto" w:fill="F2F2F4"/>
        <w:jc w:val="left"/>
        <w:rPr>
          <w:rFonts w:ascii="Verdana" w:hAnsi="Verdana" w:cs="Verdana"/>
          <w:color w:val="333333"/>
          <w:sz w:val="18"/>
          <w:szCs w:val="18"/>
        </w:rPr>
      </w:pPr>
    </w:p>
    <w:p w14:paraId="0611F32A">
      <w:pPr>
        <w:rPr>
          <w:rFonts w:ascii="Verdana" w:hAnsi="Verdana" w:cs="Verdana"/>
          <w:color w:val="000000"/>
          <w:sz w:val="28"/>
        </w:rPr>
      </w:pPr>
    </w:p>
    <w:p w14:paraId="264BEC50">
      <w:pPr>
        <w:rPr>
          <w:rFonts w:ascii="Verdana" w:hAnsi="Verdana" w:cs="Verdana"/>
          <w:b/>
          <w:color w:val="000000"/>
          <w:sz w:val="22"/>
        </w:rPr>
      </w:pPr>
      <w:r>
        <w:rPr>
          <w:rFonts w:hint="eastAsia" w:ascii="Verdana" w:hAnsi="Verdana" w:cs="Verdana"/>
          <w:b/>
          <w:color w:val="000000"/>
          <w:sz w:val="22"/>
        </w:rPr>
        <w:t>About Us</w:t>
      </w:r>
    </w:p>
    <w:p w14:paraId="0AFD5325">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05A9EBC0">
      <w:pPr>
        <w:rPr>
          <w:rFonts w:ascii="Verdana" w:hAnsi="Verdana" w:cs="Verdana"/>
          <w:color w:val="000000"/>
          <w:sz w:val="18"/>
        </w:rPr>
      </w:pPr>
    </w:p>
    <w:p w14:paraId="6C02431E">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9FBCF">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487920E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4C2236">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66A37"/>
    <w:rsid w:val="00270F98"/>
    <w:rsid w:val="003743F3"/>
    <w:rsid w:val="003F2047"/>
    <w:rsid w:val="00444478"/>
    <w:rsid w:val="00453C05"/>
    <w:rsid w:val="00465307"/>
    <w:rsid w:val="0049468E"/>
    <w:rsid w:val="00622ACE"/>
    <w:rsid w:val="00665764"/>
    <w:rsid w:val="00731840"/>
    <w:rsid w:val="007349B0"/>
    <w:rsid w:val="007359E2"/>
    <w:rsid w:val="0077681E"/>
    <w:rsid w:val="008D0595"/>
    <w:rsid w:val="008D6808"/>
    <w:rsid w:val="00952937"/>
    <w:rsid w:val="00A16F8C"/>
    <w:rsid w:val="00A35CEF"/>
    <w:rsid w:val="00AE759F"/>
    <w:rsid w:val="00AF7C10"/>
    <w:rsid w:val="00B11FEF"/>
    <w:rsid w:val="00B4381C"/>
    <w:rsid w:val="00B539FF"/>
    <w:rsid w:val="00B56E04"/>
    <w:rsid w:val="00BD4043"/>
    <w:rsid w:val="00C44FAF"/>
    <w:rsid w:val="00D24477"/>
    <w:rsid w:val="00F268A0"/>
    <w:rsid w:val="00F714FF"/>
    <w:rsid w:val="00F7593F"/>
    <w:rsid w:val="00FC60FC"/>
    <w:rsid w:val="026855F2"/>
    <w:rsid w:val="033D434A"/>
    <w:rsid w:val="0A680B1B"/>
    <w:rsid w:val="0B752261"/>
    <w:rsid w:val="0E714EC9"/>
    <w:rsid w:val="0FC87CEA"/>
    <w:rsid w:val="101C4557"/>
    <w:rsid w:val="15C25510"/>
    <w:rsid w:val="18AE427D"/>
    <w:rsid w:val="18E81EA3"/>
    <w:rsid w:val="1B974A15"/>
    <w:rsid w:val="1CDC4CA0"/>
    <w:rsid w:val="1F8A38D8"/>
    <w:rsid w:val="1FCC39C5"/>
    <w:rsid w:val="20F61905"/>
    <w:rsid w:val="2199682E"/>
    <w:rsid w:val="239E3C7B"/>
    <w:rsid w:val="27B55639"/>
    <w:rsid w:val="2A752F8B"/>
    <w:rsid w:val="2C665CEA"/>
    <w:rsid w:val="2E0F6BE8"/>
    <w:rsid w:val="2E46712B"/>
    <w:rsid w:val="314F3E41"/>
    <w:rsid w:val="38DF1D3F"/>
    <w:rsid w:val="3B533162"/>
    <w:rsid w:val="45872050"/>
    <w:rsid w:val="478E224E"/>
    <w:rsid w:val="48141B24"/>
    <w:rsid w:val="485A3318"/>
    <w:rsid w:val="485E04E5"/>
    <w:rsid w:val="487316FE"/>
    <w:rsid w:val="49B75FAC"/>
    <w:rsid w:val="4AA52F06"/>
    <w:rsid w:val="4E4A4BF6"/>
    <w:rsid w:val="4F8D25ED"/>
    <w:rsid w:val="51AD130D"/>
    <w:rsid w:val="540A3FAB"/>
    <w:rsid w:val="562E484B"/>
    <w:rsid w:val="56834992"/>
    <w:rsid w:val="5930748A"/>
    <w:rsid w:val="59933671"/>
    <w:rsid w:val="5AA83521"/>
    <w:rsid w:val="5EEA5249"/>
    <w:rsid w:val="609213A6"/>
    <w:rsid w:val="60F90F09"/>
    <w:rsid w:val="61BA6334"/>
    <w:rsid w:val="620A28FD"/>
    <w:rsid w:val="63C27F07"/>
    <w:rsid w:val="68A12F41"/>
    <w:rsid w:val="68AD6386"/>
    <w:rsid w:val="6CDD5971"/>
    <w:rsid w:val="6D7A6503"/>
    <w:rsid w:val="6F9671C3"/>
    <w:rsid w:val="70757613"/>
    <w:rsid w:val="70B756B4"/>
    <w:rsid w:val="73270F88"/>
    <w:rsid w:val="74455F31"/>
    <w:rsid w:val="7540100C"/>
    <w:rsid w:val="77935A18"/>
    <w:rsid w:val="7B8E7427"/>
    <w:rsid w:val="7C0A662F"/>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IPQAM/DHP200B/3EEECN_20200812063344.jpg" TargetMode="External"/><Relationship Id="rId8" Type="http://schemas.openxmlformats.org/officeDocument/2006/relationships/image" Target="media/image3.jpeg"/><Relationship Id="rId7" Type="http://schemas.openxmlformats.org/officeDocument/2006/relationships/hyperlink" Target="https://english.dsdvb.com/Upload/images/Product/IPQAM/DHP200B/3EEECN_20200812063001.jp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210</Words>
  <Characters>1225</Characters>
  <Lines>22</Lines>
  <Paragraphs>6</Paragraphs>
  <TotalTime>0</TotalTime>
  <ScaleCrop>false</ScaleCrop>
  <LinksUpToDate>false</LinksUpToDate>
  <CharactersWithSpaces>1432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2025-08-20T06:50:35Z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