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85D8C">
      <w:pPr>
        <w:pStyle w:val="6"/>
        <w:widowControl/>
        <w:spacing w:beforeAutospacing="0" w:afterAutospacing="0" w:line="324" w:lineRule="atLeast"/>
        <w:ind w:left="424"/>
        <w:jc w:val="center"/>
        <w:rPr>
          <w:rFonts w:ascii="Verdana" w:hAnsi="Verdana" w:cs="Verdana"/>
          <w:color w:val="000000"/>
          <w:sz w:val="28"/>
        </w:rPr>
      </w:pPr>
      <w:bookmarkStart w:id="0" w:name="_GoBack"/>
      <w:r>
        <w:rPr>
          <w:rFonts w:hint="eastAsia" w:ascii="Verdana" w:hAnsi="Verdana" w:cs="Verdana"/>
          <w:b/>
          <w:i w:val="0"/>
          <w:strike w:val="0"/>
          <w:color w:val="000000"/>
          <w:sz w:val="28"/>
          <w:lang w:eastAsia="zh-CN"/>
        </w:rPr>
        <w:t>FMUSER FUQ-200B QAM Modulator 256 IP Input 96 QAM Output 10G SFP+-GE Interfaces DVB-C EN300-429 ITU-T J.83A-B-C Multiplex Scrambler Modulation for Broadcast Systems</w:t>
      </w:r>
      <w:bookmarkEnd w:id="0"/>
      <w:r>
        <w:rPr>
          <w:rFonts w:ascii="Verdana" w:hAnsi="Verdana" w:cs="Verdana"/>
          <w:color w:val="000000"/>
          <w:sz w:val="28"/>
        </w:rPr>
        <w:drawing>
          <wp:inline distT="0" distB="0" distL="114300" distR="114300">
            <wp:extent cx="6181725" cy="3400425"/>
            <wp:effectExtent l="0" t="0" r="9525" b="9525"/>
            <wp:docPr id="1" name="图片 1" descr="3EEECN_20200331055220"/>
            <wp:cNvGraphicFramePr/>
            <a:graphic xmlns:a="http://schemas.openxmlformats.org/drawingml/2006/main">
              <a:graphicData uri="http://schemas.openxmlformats.org/drawingml/2006/picture">
                <pic:pic xmlns:pic="http://schemas.openxmlformats.org/drawingml/2006/picture">
                  <pic:nvPicPr>
                    <pic:cNvPr id="1" name="图片 1" descr="3EEECN_20200331055220"/>
                    <pic:cNvPicPr/>
                  </pic:nvPicPr>
                  <pic:blipFill>
                    <a:blip r:embed="rId6"/>
                    <a:stretch>
                      <a:fillRect/>
                    </a:stretch>
                  </pic:blipFill>
                  <pic:spPr>
                    <a:xfrm>
                      <a:off x="0" y="0"/>
                      <a:ext cx="6181725" cy="3400425"/>
                    </a:xfrm>
                    <a:prstGeom prst="rect">
                      <a:avLst/>
                    </a:prstGeom>
                  </pic:spPr>
                </pic:pic>
              </a:graphicData>
            </a:graphic>
          </wp:inline>
        </w:drawing>
      </w:r>
    </w:p>
    <w:p w14:paraId="595A81CC">
      <w:pPr>
        <w:pStyle w:val="6"/>
        <w:widowControl/>
        <w:spacing w:beforeAutospacing="0" w:afterAutospacing="0" w:line="324" w:lineRule="atLeast"/>
        <w:jc w:val="left"/>
      </w:pPr>
      <w:r>
        <w:rPr>
          <w:rStyle w:val="10"/>
          <w:rFonts w:ascii="Verdana" w:hAnsi="Verdana" w:cs="Verdana"/>
          <w:color w:val="333333"/>
          <w:sz w:val="18"/>
          <w:szCs w:val="18"/>
          <w:shd w:val="clear" w:color="auto" w:fill="FEFCFD"/>
        </w:rPr>
        <w:t>Product Overview</w:t>
      </w:r>
    </w:p>
    <w:p w14:paraId="7F41039F">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FMUSER FUQ-200B integrates multiplex, scrambler, and modulator functions, outputting 48/96 non-adjacent DVB-C QAM carriers via 2/4 RF ports and SFP+/GE ports. It processes signals through multiplexing, scrambling, and modulating in a 1U chassis with modular design and web-based management. Ideal for broadcast operators to save costs in high-density signal distribution.</w:t>
      </w:r>
      <w:r>
        <w:rPr>
          <w:rFonts w:ascii="Verdana" w:hAnsi="Verdana" w:cs="Verdana"/>
          <w:color w:val="333333"/>
          <w:sz w:val="18"/>
          <w:szCs w:val="18"/>
          <w:shd w:val="clear" w:color="auto" w:fill="FEFCFD"/>
        </w:rPr>
        <w:t>The device is equipped with 1 (or 2) 48ch QAM card and characterized with dual RF output ports on each card to broaden the bandwidth for QAM carriers. Its high density helps operators to save cost to the most extent.</w:t>
      </w:r>
    </w:p>
    <w:p w14:paraId="4F1CAE14">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9EE5E1A">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1A5CC12B">
      <w:pPr>
        <w:pStyle w:val="6"/>
        <w:widowControl/>
        <w:spacing w:beforeAutospacing="0" w:afterAutospacing="0" w:line="324" w:lineRule="atLeast"/>
        <w:ind w:left="420"/>
      </w:pPr>
      <w:r>
        <w:rPr>
          <w:rFonts w:hint="eastAsia" w:ascii="Verdana" w:hAnsi="Verdana" w:cs="Verdana"/>
          <w:color w:val="333333"/>
          <w:sz w:val="18"/>
          <w:szCs w:val="18"/>
          <w:shd w:val="clear" w:color="auto" w:fill="FEFCFD"/>
        </w:rPr>
        <w:t>Integrates multiplex, scrambler, and modulator with 6 CAS Simul-cryption., Features 2/4 RF outputs and multiple interfaces including SFP+/SFP/GE ports., Outputs 48/96 non-adjacent DVB-C QAM carriers., Supports web-based network management for easy control.</w:t>
      </w:r>
      <w:r>
        <w:rPr>
          <w:rFonts w:ascii="Verdana" w:hAnsi="Verdana" w:cs="Verdana"/>
          <w:color w:val="333333"/>
          <w:sz w:val="18"/>
          <w:szCs w:val="18"/>
          <w:shd w:val="clear" w:color="auto" w:fill="FEFCFD"/>
        </w:rPr>
        <w:t> </w:t>
      </w:r>
    </w:p>
    <w:p w14:paraId="7A6F0051">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 (per card)</w:t>
      </w:r>
    </w:p>
    <w:p w14:paraId="7B3FE654">
      <w:pPr>
        <w:pStyle w:val="6"/>
        <w:widowControl/>
        <w:spacing w:beforeAutospacing="0" w:afterAutospacing="0" w:line="324" w:lineRule="atLeast"/>
      </w:pPr>
      <w:r>
        <w:rPr>
          <w:rFonts w:ascii="Verdana" w:hAnsi="Verdana" w:cs="Verdana"/>
          <w:color w:val="333333"/>
          <w:sz w:val="18"/>
          <w:szCs w:val="18"/>
          <w:shd w:val="clear" w:color="auto" w:fill="FEFCFD"/>
        </w:rPr>
        <w:t> </w:t>
      </w:r>
    </w:p>
    <w:p w14:paraId="1B47985C">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1090" cy="3966210"/>
            <wp:effectExtent l="0" t="0" r="10160" b="1524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1090" cy="3966210"/>
                    </a:xfrm>
                    <a:prstGeom prst="rect">
                      <a:avLst/>
                    </a:prstGeom>
                    <a:noFill/>
                    <a:ln w="9525">
                      <a:noFill/>
                    </a:ln>
                  </pic:spPr>
                </pic:pic>
              </a:graphicData>
            </a:graphic>
          </wp:inline>
        </w:drawing>
      </w:r>
    </w:p>
    <w:p w14:paraId="5293B4C1">
      <w:pPr>
        <w:pStyle w:val="6"/>
        <w:widowControl/>
        <w:spacing w:beforeAutospacing="0" w:afterAutospacing="0" w:line="324" w:lineRule="atLeast"/>
      </w:pPr>
      <w:r>
        <w:rPr>
          <w:rFonts w:ascii="Verdana" w:hAnsi="Verdana" w:cs="Verdana"/>
          <w:color w:val="333333"/>
          <w:sz w:val="18"/>
          <w:szCs w:val="18"/>
          <w:shd w:val="clear" w:color="auto" w:fill="FEFCFD"/>
        </w:rPr>
        <w:t> </w:t>
      </w:r>
    </w:p>
    <w:p w14:paraId="2284533D">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 (per card)</w:t>
      </w:r>
    </w:p>
    <w:p w14:paraId="55DBCF4E">
      <w:pPr>
        <w:pStyle w:val="6"/>
        <w:widowControl/>
        <w:spacing w:beforeAutospacing="0" w:afterAutospacing="0" w:line="324" w:lineRule="atLeast"/>
      </w:pPr>
      <w:r>
        <w:rPr>
          <w:rFonts w:ascii="Verdana" w:hAnsi="Verdana" w:cs="Verdana"/>
          <w:color w:val="333333"/>
          <w:sz w:val="18"/>
          <w:szCs w:val="18"/>
          <w:shd w:val="clear" w:color="auto" w:fill="FEFCFD"/>
        </w:rPr>
        <w:t> </w:t>
      </w:r>
    </w:p>
    <w:p w14:paraId="4008DF19">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0455" cy="1866265"/>
            <wp:effectExtent l="0" t="0" r="10795" b="63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0455" cy="1866265"/>
                    </a:xfrm>
                    <a:prstGeom prst="rect">
                      <a:avLst/>
                    </a:prstGeom>
                    <a:noFill/>
                    <a:ln w="9525">
                      <a:noFill/>
                    </a:ln>
                  </pic:spPr>
                </pic:pic>
              </a:graphicData>
            </a:graphic>
          </wp:inline>
        </w:drawing>
      </w:r>
    </w:p>
    <w:p w14:paraId="09D79742">
      <w:pPr>
        <w:pStyle w:val="6"/>
        <w:widowControl/>
        <w:spacing w:beforeAutospacing="0" w:afterAutospacing="0" w:line="324" w:lineRule="atLeast"/>
      </w:pPr>
      <w:r>
        <w:rPr>
          <w:rFonts w:ascii="Verdana" w:hAnsi="Verdana" w:cs="Verdana"/>
          <w:color w:val="333333"/>
          <w:sz w:val="18"/>
          <w:szCs w:val="18"/>
          <w:shd w:val="clear" w:color="auto" w:fill="FEFCFD"/>
        </w:rPr>
        <w:t> </w:t>
      </w:r>
    </w:p>
    <w:p w14:paraId="46AE60D3">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8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41"/>
        <w:gridCol w:w="2409"/>
        <w:gridCol w:w="1124"/>
        <w:gridCol w:w="4406"/>
      </w:tblGrid>
      <w:tr w14:paraId="78A463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045B8FD0">
            <w:pPr>
              <w:pStyle w:val="6"/>
              <w:widowControl/>
              <w:spacing w:beforeAutospacing="0" w:afterAutospacing="0" w:line="324" w:lineRule="atLeast"/>
            </w:pPr>
            <w:r>
              <w:rPr>
                <w:rStyle w:val="10"/>
              </w:rPr>
              <w:t>Input</w:t>
            </w:r>
          </w:p>
        </w:tc>
        <w:tc>
          <w:tcPr>
            <w:tcW w:w="2415" w:type="dxa"/>
            <w:shd w:val="clear" w:color="auto" w:fill="auto"/>
            <w:vAlign w:val="center"/>
          </w:tcPr>
          <w:p w14:paraId="037415C5">
            <w:pPr>
              <w:pStyle w:val="6"/>
              <w:widowControl/>
              <w:spacing w:beforeAutospacing="0" w:afterAutospacing="0" w:line="324" w:lineRule="atLeast"/>
            </w:pPr>
            <w:r>
              <w:t>Input</w:t>
            </w:r>
          </w:p>
        </w:tc>
        <w:tc>
          <w:tcPr>
            <w:tcW w:w="5535" w:type="dxa"/>
            <w:gridSpan w:val="2"/>
            <w:shd w:val="clear" w:color="auto" w:fill="auto"/>
            <w:vAlign w:val="center"/>
          </w:tcPr>
          <w:p w14:paraId="6E174843">
            <w:pPr>
              <w:pStyle w:val="6"/>
              <w:widowControl/>
              <w:spacing w:beforeAutospacing="0" w:afterAutospacing="0" w:line="324" w:lineRule="atLeast"/>
            </w:pPr>
            <w:r>
              <w:t>Max 256*4 IP in through GE ports 1-4</w:t>
            </w:r>
          </w:p>
          <w:p w14:paraId="59D2C175">
            <w:pPr>
              <w:pStyle w:val="6"/>
              <w:widowControl/>
              <w:spacing w:beforeAutospacing="0" w:afterAutospacing="0" w:line="324" w:lineRule="atLeast"/>
            </w:pPr>
            <w:r>
              <w:t>Max 256*3 IP in through SFP+/SFP ports 1-3</w:t>
            </w:r>
          </w:p>
        </w:tc>
      </w:tr>
      <w:tr w14:paraId="400597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15C85156">
            <w:pPr>
              <w:jc w:val="left"/>
              <w:rPr>
                <w:rFonts w:ascii="宋体"/>
                <w:sz w:val="24"/>
                <w:szCs w:val="24"/>
              </w:rPr>
            </w:pPr>
          </w:p>
        </w:tc>
        <w:tc>
          <w:tcPr>
            <w:tcW w:w="2415" w:type="dxa"/>
            <w:shd w:val="clear" w:color="auto" w:fill="auto"/>
            <w:vAlign w:val="center"/>
          </w:tcPr>
          <w:p w14:paraId="294DE36D">
            <w:pPr>
              <w:pStyle w:val="6"/>
              <w:widowControl/>
              <w:spacing w:beforeAutospacing="0" w:afterAutospacing="0" w:line="324" w:lineRule="atLeast"/>
            </w:pPr>
            <w:r>
              <w:t>Transmission Rate</w:t>
            </w:r>
          </w:p>
        </w:tc>
        <w:tc>
          <w:tcPr>
            <w:tcW w:w="5535" w:type="dxa"/>
            <w:gridSpan w:val="2"/>
            <w:shd w:val="clear" w:color="auto" w:fill="auto"/>
            <w:vAlign w:val="center"/>
          </w:tcPr>
          <w:p w14:paraId="59FEBF24">
            <w:pPr>
              <w:pStyle w:val="6"/>
              <w:widowControl/>
              <w:spacing w:beforeAutospacing="0" w:afterAutospacing="0" w:line="324" w:lineRule="atLeast"/>
            </w:pPr>
            <w:r>
              <w:t>Max 960Mbps for each GE input, and</w:t>
            </w:r>
          </w:p>
          <w:p w14:paraId="225A50E2">
            <w:pPr>
              <w:pStyle w:val="6"/>
              <w:widowControl/>
              <w:spacing w:beforeAutospacing="0" w:afterAutospacing="0" w:line="324" w:lineRule="atLeast"/>
            </w:pPr>
            <w:r>
              <w:t>Max 9600Mbps for each 10G SFP+/SFP input</w:t>
            </w:r>
          </w:p>
        </w:tc>
      </w:tr>
      <w:tr w14:paraId="59040D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71B56812">
            <w:pPr>
              <w:jc w:val="left"/>
              <w:rPr>
                <w:rFonts w:ascii="宋体"/>
                <w:sz w:val="24"/>
                <w:szCs w:val="24"/>
              </w:rPr>
            </w:pPr>
          </w:p>
        </w:tc>
        <w:tc>
          <w:tcPr>
            <w:tcW w:w="2415" w:type="dxa"/>
            <w:shd w:val="clear" w:color="auto" w:fill="auto"/>
            <w:vAlign w:val="center"/>
          </w:tcPr>
          <w:p w14:paraId="5E3C2C32">
            <w:pPr>
              <w:pStyle w:val="6"/>
              <w:widowControl/>
              <w:spacing w:beforeAutospacing="0" w:afterAutospacing="0" w:line="324" w:lineRule="atLeast"/>
            </w:pPr>
            <w:r>
              <w:t>Transport Protocol</w:t>
            </w:r>
          </w:p>
        </w:tc>
        <w:tc>
          <w:tcPr>
            <w:tcW w:w="5535" w:type="dxa"/>
            <w:gridSpan w:val="2"/>
            <w:shd w:val="clear" w:color="auto" w:fill="auto"/>
            <w:vAlign w:val="center"/>
          </w:tcPr>
          <w:p w14:paraId="3241EA7F">
            <w:pPr>
              <w:pStyle w:val="6"/>
              <w:widowControl/>
              <w:spacing w:beforeAutospacing="0" w:afterAutospacing="0" w:line="324" w:lineRule="atLeast"/>
            </w:pPr>
            <w:r>
              <w:t>TS over UDP/RTP, unicast and multicast, IGMP V2/V3</w:t>
            </w:r>
          </w:p>
        </w:tc>
      </w:tr>
      <w:tr w14:paraId="49E21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vMerge w:val="restart"/>
            <w:shd w:val="clear" w:color="auto" w:fill="auto"/>
            <w:vAlign w:val="center"/>
          </w:tcPr>
          <w:p w14:paraId="174A6EC1">
            <w:pPr>
              <w:pStyle w:val="6"/>
              <w:widowControl/>
              <w:spacing w:beforeAutospacing="0" w:afterAutospacing="0" w:line="324" w:lineRule="atLeast"/>
            </w:pPr>
            <w:r>
              <w:rPr>
                <w:rStyle w:val="10"/>
              </w:rPr>
              <w:t>Mux</w:t>
            </w:r>
          </w:p>
        </w:tc>
        <w:tc>
          <w:tcPr>
            <w:tcW w:w="2415" w:type="dxa"/>
            <w:shd w:val="clear" w:color="auto" w:fill="auto"/>
            <w:vAlign w:val="center"/>
          </w:tcPr>
          <w:p w14:paraId="4856E772">
            <w:pPr>
              <w:pStyle w:val="6"/>
              <w:widowControl/>
              <w:spacing w:beforeAutospacing="0" w:afterAutospacing="0" w:line="324" w:lineRule="atLeast"/>
            </w:pPr>
            <w:r>
              <w:t>Max PIDs Remapping</w:t>
            </w:r>
          </w:p>
        </w:tc>
        <w:tc>
          <w:tcPr>
            <w:tcW w:w="5535" w:type="dxa"/>
            <w:gridSpan w:val="2"/>
            <w:shd w:val="clear" w:color="auto" w:fill="auto"/>
            <w:vAlign w:val="center"/>
          </w:tcPr>
          <w:p w14:paraId="244C9A51">
            <w:pPr>
              <w:pStyle w:val="6"/>
              <w:widowControl/>
              <w:spacing w:beforeAutospacing="0" w:afterAutospacing="0" w:line="324" w:lineRule="atLeast"/>
            </w:pPr>
            <w:r>
              <w:t>256 per output channel</w:t>
            </w:r>
          </w:p>
        </w:tc>
      </w:tr>
      <w:tr w14:paraId="63B817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07558156">
            <w:pPr>
              <w:jc w:val="left"/>
              <w:rPr>
                <w:rFonts w:ascii="宋体"/>
                <w:sz w:val="24"/>
                <w:szCs w:val="24"/>
              </w:rPr>
            </w:pPr>
          </w:p>
        </w:tc>
        <w:tc>
          <w:tcPr>
            <w:tcW w:w="2415" w:type="dxa"/>
            <w:vMerge w:val="restart"/>
            <w:shd w:val="clear" w:color="auto" w:fill="auto"/>
            <w:vAlign w:val="center"/>
          </w:tcPr>
          <w:p w14:paraId="1CDB0BBF">
            <w:pPr>
              <w:pStyle w:val="6"/>
              <w:widowControl/>
              <w:spacing w:beforeAutospacing="0" w:afterAutospacing="0" w:line="324" w:lineRule="atLeast"/>
            </w:pPr>
            <w:r>
              <w:t>Functions</w:t>
            </w:r>
          </w:p>
        </w:tc>
        <w:tc>
          <w:tcPr>
            <w:tcW w:w="5535" w:type="dxa"/>
            <w:gridSpan w:val="2"/>
            <w:shd w:val="clear" w:color="auto" w:fill="auto"/>
            <w:vAlign w:val="center"/>
          </w:tcPr>
          <w:p w14:paraId="78F74DB2">
            <w:pPr>
              <w:pStyle w:val="6"/>
              <w:widowControl/>
              <w:spacing w:beforeAutospacing="0" w:afterAutospacing="0" w:line="324" w:lineRule="atLeast"/>
            </w:pPr>
            <w:r>
              <w:t>PID remapping (auto/manually optional)</w:t>
            </w:r>
          </w:p>
        </w:tc>
      </w:tr>
      <w:tr w14:paraId="37B36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DA5EF92">
            <w:pPr>
              <w:jc w:val="left"/>
              <w:rPr>
                <w:rFonts w:ascii="宋体"/>
                <w:sz w:val="24"/>
                <w:szCs w:val="24"/>
              </w:rPr>
            </w:pPr>
          </w:p>
        </w:tc>
        <w:tc>
          <w:tcPr>
            <w:tcW w:w="2415" w:type="dxa"/>
            <w:vMerge w:val="continue"/>
            <w:shd w:val="clear" w:color="auto" w:fill="auto"/>
            <w:vAlign w:val="center"/>
          </w:tcPr>
          <w:p w14:paraId="4319D562">
            <w:pPr>
              <w:jc w:val="left"/>
              <w:rPr>
                <w:rFonts w:ascii="宋体"/>
                <w:sz w:val="24"/>
                <w:szCs w:val="24"/>
              </w:rPr>
            </w:pPr>
          </w:p>
        </w:tc>
        <w:tc>
          <w:tcPr>
            <w:tcW w:w="5535" w:type="dxa"/>
            <w:gridSpan w:val="2"/>
            <w:shd w:val="clear" w:color="auto" w:fill="auto"/>
            <w:vAlign w:val="center"/>
          </w:tcPr>
          <w:p w14:paraId="6CE3E247">
            <w:pPr>
              <w:pStyle w:val="6"/>
              <w:widowControl/>
              <w:spacing w:beforeAutospacing="0" w:afterAutospacing="0" w:line="324" w:lineRule="atLeast"/>
            </w:pPr>
            <w:r>
              <w:t>PCR accurate adjusting</w:t>
            </w:r>
          </w:p>
        </w:tc>
      </w:tr>
      <w:tr w14:paraId="1E0612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5D0C0311">
            <w:pPr>
              <w:jc w:val="left"/>
              <w:rPr>
                <w:rFonts w:ascii="宋体"/>
                <w:sz w:val="24"/>
                <w:szCs w:val="24"/>
              </w:rPr>
            </w:pPr>
          </w:p>
        </w:tc>
        <w:tc>
          <w:tcPr>
            <w:tcW w:w="2415" w:type="dxa"/>
            <w:vMerge w:val="continue"/>
            <w:shd w:val="clear" w:color="auto" w:fill="auto"/>
            <w:vAlign w:val="center"/>
          </w:tcPr>
          <w:p w14:paraId="009A15F0">
            <w:pPr>
              <w:jc w:val="left"/>
              <w:rPr>
                <w:rFonts w:ascii="宋体"/>
                <w:sz w:val="24"/>
                <w:szCs w:val="24"/>
              </w:rPr>
            </w:pPr>
          </w:p>
        </w:tc>
        <w:tc>
          <w:tcPr>
            <w:tcW w:w="5535" w:type="dxa"/>
            <w:gridSpan w:val="2"/>
            <w:shd w:val="clear" w:color="auto" w:fill="auto"/>
            <w:vAlign w:val="center"/>
          </w:tcPr>
          <w:p w14:paraId="3D00692B">
            <w:pPr>
              <w:pStyle w:val="6"/>
              <w:widowControl/>
              <w:spacing w:beforeAutospacing="0" w:afterAutospacing="0" w:line="324" w:lineRule="atLeast"/>
            </w:pPr>
            <w:r>
              <w:t>PSI/SI table automatically generating</w:t>
            </w:r>
          </w:p>
        </w:tc>
      </w:tr>
      <w:tr w14:paraId="236C8A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0F732D13">
            <w:pPr>
              <w:pStyle w:val="6"/>
              <w:widowControl/>
              <w:spacing w:beforeAutospacing="0" w:afterAutospacing="0" w:line="324" w:lineRule="atLeast"/>
            </w:pPr>
            <w:r>
              <w:rPr>
                <w:rStyle w:val="10"/>
              </w:rPr>
              <w:t>Scrambling</w:t>
            </w:r>
          </w:p>
        </w:tc>
        <w:tc>
          <w:tcPr>
            <w:tcW w:w="2415" w:type="dxa"/>
            <w:shd w:val="clear" w:color="auto" w:fill="auto"/>
            <w:vAlign w:val="center"/>
          </w:tcPr>
          <w:p w14:paraId="64A5FD1D">
            <w:pPr>
              <w:pStyle w:val="6"/>
              <w:widowControl/>
              <w:spacing w:beforeAutospacing="0" w:afterAutospacing="0" w:line="324" w:lineRule="atLeast"/>
              <w:ind w:left="34"/>
            </w:pPr>
            <w:r>
              <w:t>Max simulcrypt CA</w:t>
            </w:r>
          </w:p>
        </w:tc>
        <w:tc>
          <w:tcPr>
            <w:tcW w:w="5520" w:type="dxa"/>
            <w:gridSpan w:val="2"/>
            <w:shd w:val="clear" w:color="auto" w:fill="auto"/>
            <w:vAlign w:val="center"/>
          </w:tcPr>
          <w:p w14:paraId="7CE2ED30">
            <w:pPr>
              <w:pStyle w:val="6"/>
              <w:widowControl/>
              <w:spacing w:beforeAutospacing="0" w:afterAutospacing="0" w:line="324" w:lineRule="atLeast"/>
            </w:pPr>
            <w:r>
              <w:t>6</w:t>
            </w:r>
          </w:p>
        </w:tc>
      </w:tr>
      <w:tr w14:paraId="7FDA41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2D334E0D">
            <w:pPr>
              <w:jc w:val="left"/>
              <w:rPr>
                <w:rFonts w:ascii="宋体"/>
                <w:sz w:val="24"/>
                <w:szCs w:val="24"/>
              </w:rPr>
            </w:pPr>
          </w:p>
        </w:tc>
        <w:tc>
          <w:tcPr>
            <w:tcW w:w="2415" w:type="dxa"/>
            <w:shd w:val="clear" w:color="auto" w:fill="auto"/>
            <w:vAlign w:val="center"/>
          </w:tcPr>
          <w:p w14:paraId="0F6ACAF4">
            <w:pPr>
              <w:pStyle w:val="6"/>
              <w:widowControl/>
              <w:spacing w:beforeAutospacing="0" w:afterAutospacing="0" w:line="324" w:lineRule="atLeast"/>
              <w:ind w:left="34"/>
            </w:pPr>
            <w:r>
              <w:t>Scramble Standard</w:t>
            </w:r>
          </w:p>
        </w:tc>
        <w:tc>
          <w:tcPr>
            <w:tcW w:w="5520" w:type="dxa"/>
            <w:gridSpan w:val="2"/>
            <w:shd w:val="clear" w:color="auto" w:fill="auto"/>
            <w:vAlign w:val="center"/>
          </w:tcPr>
          <w:p w14:paraId="783C2A21">
            <w:pPr>
              <w:pStyle w:val="6"/>
              <w:widowControl/>
              <w:spacing w:beforeAutospacing="0" w:afterAutospacing="0" w:line="324" w:lineRule="atLeast"/>
            </w:pPr>
            <w:r>
              <w:t>ETR289, ETSI 101 197, ETSI 103 197</w:t>
            </w:r>
          </w:p>
        </w:tc>
      </w:tr>
      <w:tr w14:paraId="4D3438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7CECB117">
            <w:pPr>
              <w:jc w:val="left"/>
              <w:rPr>
                <w:rFonts w:ascii="宋体"/>
                <w:sz w:val="24"/>
                <w:szCs w:val="24"/>
              </w:rPr>
            </w:pPr>
          </w:p>
        </w:tc>
        <w:tc>
          <w:tcPr>
            <w:tcW w:w="2415" w:type="dxa"/>
            <w:shd w:val="clear" w:color="auto" w:fill="auto"/>
            <w:vAlign w:val="center"/>
          </w:tcPr>
          <w:p w14:paraId="14F4A997">
            <w:pPr>
              <w:pStyle w:val="6"/>
              <w:widowControl/>
              <w:spacing w:beforeAutospacing="0" w:afterAutospacing="0" w:line="324" w:lineRule="atLeast"/>
              <w:ind w:left="34"/>
            </w:pPr>
            <w:r>
              <w:t>Connection</w:t>
            </w:r>
          </w:p>
        </w:tc>
        <w:tc>
          <w:tcPr>
            <w:tcW w:w="5520" w:type="dxa"/>
            <w:gridSpan w:val="2"/>
            <w:shd w:val="clear" w:color="auto" w:fill="auto"/>
            <w:vAlign w:val="center"/>
          </w:tcPr>
          <w:p w14:paraId="0628A5C7">
            <w:pPr>
              <w:pStyle w:val="6"/>
              <w:widowControl/>
              <w:spacing w:beforeAutospacing="0" w:afterAutospacing="0" w:line="324" w:lineRule="atLeast"/>
            </w:pPr>
            <w:r>
              <w:t>Local/remote connection</w:t>
            </w:r>
          </w:p>
        </w:tc>
      </w:tr>
      <w:tr w14:paraId="3D12E6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1CE35A76">
            <w:pPr>
              <w:pStyle w:val="6"/>
              <w:widowControl/>
              <w:spacing w:beforeAutospacing="0" w:afterAutospacing="0" w:line="324" w:lineRule="atLeast"/>
            </w:pPr>
            <w:r>
              <w:rPr>
                <w:rStyle w:val="10"/>
              </w:rPr>
              <w:t>Modulation</w:t>
            </w:r>
          </w:p>
        </w:tc>
        <w:tc>
          <w:tcPr>
            <w:tcW w:w="2415" w:type="dxa"/>
            <w:shd w:val="clear" w:color="auto" w:fill="auto"/>
            <w:vAlign w:val="center"/>
          </w:tcPr>
          <w:p w14:paraId="2B2ED8F3">
            <w:pPr>
              <w:pStyle w:val="6"/>
              <w:widowControl/>
              <w:spacing w:beforeAutospacing="0" w:afterAutospacing="0" w:line="324" w:lineRule="atLeast"/>
              <w:ind w:left="34"/>
            </w:pPr>
            <w:r>
              <w:t>Modulation Standard</w:t>
            </w:r>
          </w:p>
        </w:tc>
        <w:tc>
          <w:tcPr>
            <w:tcW w:w="5520" w:type="dxa"/>
            <w:gridSpan w:val="2"/>
            <w:shd w:val="clear" w:color="auto" w:fill="auto"/>
            <w:vAlign w:val="center"/>
          </w:tcPr>
          <w:p w14:paraId="1C4518E9">
            <w:pPr>
              <w:pStyle w:val="6"/>
              <w:widowControl/>
              <w:spacing w:beforeAutospacing="0" w:afterAutospacing="0" w:line="324" w:lineRule="atLeast"/>
            </w:pPr>
            <w:r>
              <w:t>EN300 429/ITU-T J.83A/B/C</w:t>
            </w:r>
          </w:p>
        </w:tc>
      </w:tr>
      <w:tr w14:paraId="6D25ED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9C76742">
            <w:pPr>
              <w:jc w:val="left"/>
              <w:rPr>
                <w:rFonts w:ascii="宋体"/>
                <w:sz w:val="24"/>
                <w:szCs w:val="24"/>
              </w:rPr>
            </w:pPr>
          </w:p>
        </w:tc>
        <w:tc>
          <w:tcPr>
            <w:tcW w:w="2415" w:type="dxa"/>
            <w:vMerge w:val="restart"/>
            <w:shd w:val="clear" w:color="auto" w:fill="auto"/>
            <w:vAlign w:val="center"/>
          </w:tcPr>
          <w:p w14:paraId="595FA72D">
            <w:pPr>
              <w:pStyle w:val="6"/>
              <w:widowControl/>
              <w:spacing w:beforeAutospacing="0" w:afterAutospacing="0" w:line="324" w:lineRule="atLeast"/>
              <w:ind w:left="34"/>
            </w:pPr>
            <w:r>
              <w:t>Constellation</w:t>
            </w:r>
          </w:p>
        </w:tc>
        <w:tc>
          <w:tcPr>
            <w:tcW w:w="1125" w:type="dxa"/>
            <w:vMerge w:val="restart"/>
            <w:shd w:val="clear" w:color="auto" w:fill="auto"/>
            <w:vAlign w:val="center"/>
          </w:tcPr>
          <w:p w14:paraId="57202FB5">
            <w:pPr>
              <w:pStyle w:val="6"/>
              <w:widowControl/>
              <w:spacing w:beforeAutospacing="0" w:afterAutospacing="0" w:line="324" w:lineRule="atLeast"/>
              <w:ind w:left="105"/>
            </w:pPr>
            <w:r>
              <w:t>J.83A</w:t>
            </w:r>
          </w:p>
        </w:tc>
        <w:tc>
          <w:tcPr>
            <w:tcW w:w="4395" w:type="dxa"/>
            <w:shd w:val="clear" w:color="auto" w:fill="auto"/>
            <w:vAlign w:val="center"/>
          </w:tcPr>
          <w:p w14:paraId="6CEDC025">
            <w:pPr>
              <w:pStyle w:val="6"/>
              <w:widowControl/>
              <w:spacing w:beforeAutospacing="0" w:afterAutospacing="0" w:line="324" w:lineRule="atLeast"/>
            </w:pPr>
            <w:r>
              <w:t>Constellation :16/32/64/128/256QAM</w:t>
            </w:r>
          </w:p>
        </w:tc>
      </w:tr>
      <w:tr w14:paraId="4474DC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FABCD53">
            <w:pPr>
              <w:jc w:val="left"/>
              <w:rPr>
                <w:rFonts w:ascii="宋体"/>
                <w:sz w:val="24"/>
                <w:szCs w:val="24"/>
              </w:rPr>
            </w:pPr>
          </w:p>
        </w:tc>
        <w:tc>
          <w:tcPr>
            <w:tcW w:w="2415" w:type="dxa"/>
            <w:vMerge w:val="continue"/>
            <w:shd w:val="clear" w:color="auto" w:fill="auto"/>
            <w:vAlign w:val="center"/>
          </w:tcPr>
          <w:p w14:paraId="3B2BE48B">
            <w:pPr>
              <w:jc w:val="left"/>
              <w:rPr>
                <w:rFonts w:ascii="宋体"/>
                <w:sz w:val="24"/>
                <w:szCs w:val="24"/>
              </w:rPr>
            </w:pPr>
          </w:p>
        </w:tc>
        <w:tc>
          <w:tcPr>
            <w:tcW w:w="1125" w:type="dxa"/>
            <w:vMerge w:val="continue"/>
            <w:shd w:val="clear" w:color="auto" w:fill="auto"/>
            <w:vAlign w:val="center"/>
          </w:tcPr>
          <w:p w14:paraId="5CECC15A">
            <w:pPr>
              <w:jc w:val="left"/>
              <w:rPr>
                <w:rFonts w:ascii="宋体"/>
                <w:sz w:val="24"/>
                <w:szCs w:val="24"/>
              </w:rPr>
            </w:pPr>
          </w:p>
        </w:tc>
        <w:tc>
          <w:tcPr>
            <w:tcW w:w="4395" w:type="dxa"/>
            <w:shd w:val="clear" w:color="auto" w:fill="auto"/>
            <w:vAlign w:val="center"/>
          </w:tcPr>
          <w:p w14:paraId="4EA31C45">
            <w:pPr>
              <w:pStyle w:val="6"/>
              <w:widowControl/>
              <w:spacing w:beforeAutospacing="0" w:afterAutospacing="0" w:line="324" w:lineRule="atLeast"/>
            </w:pPr>
            <w:r>
              <w:t>Bandwidth :8M</w:t>
            </w:r>
          </w:p>
        </w:tc>
      </w:tr>
      <w:tr w14:paraId="601060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E10BB04">
            <w:pPr>
              <w:jc w:val="left"/>
              <w:rPr>
                <w:rFonts w:ascii="宋体"/>
                <w:sz w:val="24"/>
                <w:szCs w:val="24"/>
              </w:rPr>
            </w:pPr>
          </w:p>
        </w:tc>
        <w:tc>
          <w:tcPr>
            <w:tcW w:w="2415" w:type="dxa"/>
            <w:vMerge w:val="continue"/>
            <w:shd w:val="clear" w:color="auto" w:fill="auto"/>
            <w:vAlign w:val="center"/>
          </w:tcPr>
          <w:p w14:paraId="31C6D9FA">
            <w:pPr>
              <w:jc w:val="left"/>
              <w:rPr>
                <w:rFonts w:ascii="宋体"/>
                <w:sz w:val="24"/>
                <w:szCs w:val="24"/>
              </w:rPr>
            </w:pPr>
          </w:p>
        </w:tc>
        <w:tc>
          <w:tcPr>
            <w:tcW w:w="1125" w:type="dxa"/>
            <w:vMerge w:val="restart"/>
            <w:shd w:val="clear" w:color="auto" w:fill="auto"/>
            <w:vAlign w:val="center"/>
          </w:tcPr>
          <w:p w14:paraId="0C70DEC6">
            <w:pPr>
              <w:pStyle w:val="6"/>
              <w:widowControl/>
              <w:spacing w:beforeAutospacing="0" w:afterAutospacing="0" w:line="324" w:lineRule="atLeast"/>
              <w:ind w:left="105"/>
            </w:pPr>
            <w:r>
              <w:t>J.83B/C</w:t>
            </w:r>
          </w:p>
        </w:tc>
        <w:tc>
          <w:tcPr>
            <w:tcW w:w="4395" w:type="dxa"/>
            <w:shd w:val="clear" w:color="auto" w:fill="auto"/>
            <w:vAlign w:val="center"/>
          </w:tcPr>
          <w:p w14:paraId="26A7DE38">
            <w:pPr>
              <w:pStyle w:val="6"/>
              <w:widowControl/>
              <w:spacing w:beforeAutospacing="0" w:afterAutospacing="0" w:line="324" w:lineRule="atLeast"/>
            </w:pPr>
            <w:r>
              <w:t>Constellation :64/256QAM</w:t>
            </w:r>
          </w:p>
        </w:tc>
      </w:tr>
      <w:tr w14:paraId="6D25FE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FB7EFC4">
            <w:pPr>
              <w:jc w:val="left"/>
              <w:rPr>
                <w:rFonts w:ascii="宋体"/>
                <w:sz w:val="24"/>
                <w:szCs w:val="24"/>
              </w:rPr>
            </w:pPr>
          </w:p>
        </w:tc>
        <w:tc>
          <w:tcPr>
            <w:tcW w:w="2415" w:type="dxa"/>
            <w:vMerge w:val="continue"/>
            <w:shd w:val="clear" w:color="auto" w:fill="auto"/>
            <w:vAlign w:val="center"/>
          </w:tcPr>
          <w:p w14:paraId="506FD2EA">
            <w:pPr>
              <w:jc w:val="left"/>
              <w:rPr>
                <w:rFonts w:ascii="宋体"/>
                <w:sz w:val="24"/>
                <w:szCs w:val="24"/>
              </w:rPr>
            </w:pPr>
          </w:p>
        </w:tc>
        <w:tc>
          <w:tcPr>
            <w:tcW w:w="1125" w:type="dxa"/>
            <w:vMerge w:val="continue"/>
            <w:shd w:val="clear" w:color="auto" w:fill="auto"/>
            <w:vAlign w:val="center"/>
          </w:tcPr>
          <w:p w14:paraId="290F051D">
            <w:pPr>
              <w:jc w:val="left"/>
              <w:rPr>
                <w:rFonts w:ascii="宋体"/>
                <w:sz w:val="24"/>
                <w:szCs w:val="24"/>
              </w:rPr>
            </w:pPr>
          </w:p>
        </w:tc>
        <w:tc>
          <w:tcPr>
            <w:tcW w:w="4395" w:type="dxa"/>
            <w:shd w:val="clear" w:color="auto" w:fill="auto"/>
            <w:vAlign w:val="center"/>
          </w:tcPr>
          <w:p w14:paraId="342C5BDC">
            <w:pPr>
              <w:pStyle w:val="6"/>
              <w:widowControl/>
              <w:spacing w:beforeAutospacing="0" w:afterAutospacing="0" w:line="324" w:lineRule="atLeast"/>
            </w:pPr>
            <w:r>
              <w:t>Bandwidth :6M</w:t>
            </w:r>
          </w:p>
        </w:tc>
      </w:tr>
      <w:tr w14:paraId="1E07E2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E4F762B">
            <w:pPr>
              <w:jc w:val="left"/>
              <w:rPr>
                <w:rFonts w:ascii="宋体"/>
                <w:sz w:val="24"/>
                <w:szCs w:val="24"/>
              </w:rPr>
            </w:pPr>
          </w:p>
        </w:tc>
        <w:tc>
          <w:tcPr>
            <w:tcW w:w="2415" w:type="dxa"/>
            <w:shd w:val="clear" w:color="auto" w:fill="auto"/>
            <w:vAlign w:val="center"/>
          </w:tcPr>
          <w:p w14:paraId="341ECEC6">
            <w:pPr>
              <w:pStyle w:val="6"/>
              <w:widowControl/>
              <w:spacing w:beforeAutospacing="0" w:afterAutospacing="0" w:line="324" w:lineRule="atLeast"/>
              <w:ind w:left="34"/>
            </w:pPr>
            <w:r>
              <w:t>QAM Channel</w:t>
            </w:r>
          </w:p>
        </w:tc>
        <w:tc>
          <w:tcPr>
            <w:tcW w:w="5520" w:type="dxa"/>
            <w:gridSpan w:val="2"/>
            <w:shd w:val="clear" w:color="auto" w:fill="auto"/>
            <w:vAlign w:val="center"/>
          </w:tcPr>
          <w:p w14:paraId="7A56A4A7">
            <w:pPr>
              <w:pStyle w:val="6"/>
              <w:widowControl/>
              <w:spacing w:beforeAutospacing="0" w:afterAutospacing="0" w:line="324" w:lineRule="atLeast"/>
              <w:ind w:left="105"/>
            </w:pPr>
            <w:r>
              <w:t>48/96 non-adjacent carrier outputs, 384Mbps bandwidth for each RF port</w:t>
            </w:r>
          </w:p>
        </w:tc>
      </w:tr>
      <w:tr w14:paraId="7F7CB8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845" w:type="dxa"/>
            <w:vMerge w:val="continue"/>
            <w:shd w:val="clear" w:color="auto" w:fill="auto"/>
            <w:vAlign w:val="center"/>
          </w:tcPr>
          <w:p w14:paraId="6E304359">
            <w:pPr>
              <w:jc w:val="left"/>
              <w:rPr>
                <w:rFonts w:ascii="宋体"/>
                <w:sz w:val="24"/>
                <w:szCs w:val="24"/>
              </w:rPr>
            </w:pPr>
          </w:p>
        </w:tc>
        <w:tc>
          <w:tcPr>
            <w:tcW w:w="2415" w:type="dxa"/>
            <w:shd w:val="clear" w:color="auto" w:fill="auto"/>
            <w:vAlign w:val="center"/>
          </w:tcPr>
          <w:p w14:paraId="570E5F6C">
            <w:pPr>
              <w:pStyle w:val="6"/>
              <w:widowControl/>
              <w:spacing w:beforeAutospacing="0" w:afterAutospacing="0" w:line="324" w:lineRule="atLeast"/>
              <w:ind w:left="34"/>
            </w:pPr>
            <w:r>
              <w:t>Symbol Rate</w:t>
            </w:r>
          </w:p>
        </w:tc>
        <w:tc>
          <w:tcPr>
            <w:tcW w:w="5520" w:type="dxa"/>
            <w:gridSpan w:val="2"/>
            <w:shd w:val="clear" w:color="auto" w:fill="auto"/>
            <w:vAlign w:val="center"/>
          </w:tcPr>
          <w:p w14:paraId="30C120E9">
            <w:pPr>
              <w:pStyle w:val="6"/>
              <w:widowControl/>
              <w:spacing w:beforeAutospacing="0" w:afterAutospacing="0" w:line="324" w:lineRule="atLeast"/>
              <w:ind w:left="105"/>
            </w:pPr>
            <w:r>
              <w:t>3600~7000Ksps, 1ksps stepping</w:t>
            </w:r>
          </w:p>
          <w:p w14:paraId="561A2E78">
            <w:pPr>
              <w:pStyle w:val="6"/>
              <w:widowControl/>
              <w:spacing w:beforeAutospacing="0" w:afterAutospacing="0" w:line="324" w:lineRule="atLeast"/>
              <w:ind w:left="105"/>
            </w:pPr>
            <w:r>
              <w:t>5057Ksps (J.83B, 64QAM) ; 5361Ksps (J.83B, 256QAM)</w:t>
            </w:r>
          </w:p>
        </w:tc>
      </w:tr>
      <w:tr w14:paraId="0DE3CC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7E2F126E">
            <w:pPr>
              <w:jc w:val="left"/>
              <w:rPr>
                <w:rFonts w:ascii="宋体"/>
                <w:sz w:val="24"/>
                <w:szCs w:val="24"/>
              </w:rPr>
            </w:pPr>
          </w:p>
        </w:tc>
        <w:tc>
          <w:tcPr>
            <w:tcW w:w="2415" w:type="dxa"/>
            <w:shd w:val="clear" w:color="auto" w:fill="auto"/>
            <w:vAlign w:val="center"/>
          </w:tcPr>
          <w:p w14:paraId="6870DDEB">
            <w:pPr>
              <w:pStyle w:val="6"/>
              <w:widowControl/>
              <w:spacing w:beforeAutospacing="0" w:afterAutospacing="0" w:line="324" w:lineRule="atLeast"/>
              <w:ind w:left="34"/>
            </w:pPr>
            <w:r>
              <w:t>Constellation</w:t>
            </w:r>
          </w:p>
        </w:tc>
        <w:tc>
          <w:tcPr>
            <w:tcW w:w="5520" w:type="dxa"/>
            <w:gridSpan w:val="2"/>
            <w:shd w:val="clear" w:color="auto" w:fill="auto"/>
            <w:vAlign w:val="center"/>
          </w:tcPr>
          <w:p w14:paraId="572FE655">
            <w:pPr>
              <w:pStyle w:val="6"/>
              <w:widowControl/>
              <w:spacing w:beforeAutospacing="0" w:afterAutospacing="0" w:line="324" w:lineRule="atLeast"/>
              <w:ind w:left="105"/>
            </w:pPr>
            <w:r>
              <w:t>16, 32, 64 , 128, 256QAM</w:t>
            </w:r>
          </w:p>
        </w:tc>
      </w:tr>
      <w:tr w14:paraId="10C8EA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14A41C6E">
            <w:pPr>
              <w:jc w:val="left"/>
              <w:rPr>
                <w:rFonts w:ascii="宋体"/>
                <w:sz w:val="24"/>
                <w:szCs w:val="24"/>
              </w:rPr>
            </w:pPr>
          </w:p>
        </w:tc>
        <w:tc>
          <w:tcPr>
            <w:tcW w:w="2415" w:type="dxa"/>
            <w:shd w:val="clear" w:color="auto" w:fill="auto"/>
            <w:vAlign w:val="center"/>
          </w:tcPr>
          <w:p w14:paraId="1586917C">
            <w:pPr>
              <w:pStyle w:val="6"/>
              <w:widowControl/>
              <w:spacing w:beforeAutospacing="0" w:afterAutospacing="0" w:line="324" w:lineRule="atLeast"/>
              <w:ind w:left="34"/>
            </w:pPr>
            <w:r>
              <w:t>FEC</w:t>
            </w:r>
          </w:p>
        </w:tc>
        <w:tc>
          <w:tcPr>
            <w:tcW w:w="5520" w:type="dxa"/>
            <w:gridSpan w:val="2"/>
            <w:shd w:val="clear" w:color="auto" w:fill="auto"/>
            <w:vAlign w:val="center"/>
          </w:tcPr>
          <w:p w14:paraId="17B5EF75">
            <w:pPr>
              <w:pStyle w:val="6"/>
              <w:widowControl/>
              <w:spacing w:beforeAutospacing="0" w:afterAutospacing="0" w:line="324" w:lineRule="atLeast"/>
              <w:ind w:left="105"/>
            </w:pPr>
            <w:r>
              <w:t>RS (204, 188)</w:t>
            </w:r>
          </w:p>
        </w:tc>
      </w:tr>
      <w:tr w14:paraId="1FB1D8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016BFE50">
            <w:pPr>
              <w:pStyle w:val="6"/>
              <w:widowControl/>
              <w:spacing w:beforeAutospacing="0" w:afterAutospacing="0" w:line="324" w:lineRule="atLeast"/>
            </w:pPr>
            <w:r>
              <w:rPr>
                <w:rStyle w:val="10"/>
              </w:rPr>
              <w:t>RF Output</w:t>
            </w:r>
          </w:p>
        </w:tc>
        <w:tc>
          <w:tcPr>
            <w:tcW w:w="2415" w:type="dxa"/>
            <w:shd w:val="clear" w:color="auto" w:fill="auto"/>
            <w:vAlign w:val="center"/>
          </w:tcPr>
          <w:p w14:paraId="53E558CF">
            <w:pPr>
              <w:pStyle w:val="6"/>
              <w:widowControl/>
              <w:spacing w:beforeAutospacing="0" w:afterAutospacing="0" w:line="324" w:lineRule="atLeast"/>
              <w:ind w:left="34"/>
            </w:pPr>
            <w:r>
              <w:t>Interface (per card)</w:t>
            </w:r>
          </w:p>
        </w:tc>
        <w:tc>
          <w:tcPr>
            <w:tcW w:w="5535" w:type="dxa"/>
            <w:gridSpan w:val="2"/>
            <w:shd w:val="clear" w:color="auto" w:fill="auto"/>
            <w:vAlign w:val="center"/>
          </w:tcPr>
          <w:p w14:paraId="28FC676C">
            <w:pPr>
              <w:pStyle w:val="6"/>
              <w:widowControl/>
              <w:spacing w:beforeAutospacing="0" w:afterAutospacing="0" w:line="324" w:lineRule="atLeast"/>
              <w:ind w:left="105"/>
            </w:pPr>
            <w:r>
              <w:t>2 F type output ports for 48 carriers, 75Ω</w:t>
            </w:r>
          </w:p>
          <w:p w14:paraId="3B34DD01">
            <w:pPr>
              <w:pStyle w:val="6"/>
              <w:widowControl/>
              <w:spacing w:beforeAutospacing="0" w:afterAutospacing="0" w:line="324" w:lineRule="atLeast"/>
              <w:ind w:left="105"/>
            </w:pPr>
            <w:r>
              <w:t>Carrier 1~24 out thru RF1, 25~48 thru RF2</w:t>
            </w:r>
          </w:p>
        </w:tc>
      </w:tr>
      <w:tr w14:paraId="679630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0CF41C8">
            <w:pPr>
              <w:jc w:val="left"/>
              <w:rPr>
                <w:rFonts w:ascii="宋体"/>
                <w:sz w:val="24"/>
                <w:szCs w:val="24"/>
              </w:rPr>
            </w:pPr>
          </w:p>
        </w:tc>
        <w:tc>
          <w:tcPr>
            <w:tcW w:w="2415" w:type="dxa"/>
            <w:shd w:val="clear" w:color="auto" w:fill="auto"/>
            <w:vAlign w:val="center"/>
          </w:tcPr>
          <w:p w14:paraId="5F1E110A">
            <w:pPr>
              <w:pStyle w:val="6"/>
              <w:widowControl/>
              <w:spacing w:beforeAutospacing="0" w:afterAutospacing="0" w:line="324" w:lineRule="atLeast"/>
              <w:ind w:left="34"/>
            </w:pPr>
            <w:r>
              <w:t>RF Range</w:t>
            </w:r>
          </w:p>
        </w:tc>
        <w:tc>
          <w:tcPr>
            <w:tcW w:w="5535" w:type="dxa"/>
            <w:gridSpan w:val="2"/>
            <w:shd w:val="clear" w:color="auto" w:fill="auto"/>
            <w:vAlign w:val="center"/>
          </w:tcPr>
          <w:p w14:paraId="5C2442C2">
            <w:pPr>
              <w:pStyle w:val="6"/>
              <w:widowControl/>
              <w:spacing w:beforeAutospacing="0" w:afterAutospacing="0" w:line="324" w:lineRule="atLeast"/>
              <w:ind w:left="105"/>
            </w:pPr>
            <w:r>
              <w:t>50~960MHz, 1kHz stepping</w:t>
            </w:r>
          </w:p>
        </w:tc>
      </w:tr>
      <w:tr w14:paraId="5DBF23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178E1A16">
            <w:pPr>
              <w:jc w:val="left"/>
              <w:rPr>
                <w:rFonts w:ascii="宋体"/>
                <w:sz w:val="24"/>
                <w:szCs w:val="24"/>
              </w:rPr>
            </w:pPr>
          </w:p>
        </w:tc>
        <w:tc>
          <w:tcPr>
            <w:tcW w:w="2415" w:type="dxa"/>
            <w:shd w:val="clear" w:color="auto" w:fill="auto"/>
            <w:vAlign w:val="center"/>
          </w:tcPr>
          <w:p w14:paraId="59FFC946">
            <w:pPr>
              <w:pStyle w:val="6"/>
              <w:widowControl/>
              <w:spacing w:beforeAutospacing="0" w:afterAutospacing="0" w:line="324" w:lineRule="atLeast"/>
              <w:ind w:left="34"/>
            </w:pPr>
            <w:r>
              <w:t>Output Level</w:t>
            </w:r>
          </w:p>
        </w:tc>
        <w:tc>
          <w:tcPr>
            <w:tcW w:w="5535" w:type="dxa"/>
            <w:gridSpan w:val="2"/>
            <w:shd w:val="clear" w:color="auto" w:fill="auto"/>
            <w:vAlign w:val="center"/>
          </w:tcPr>
          <w:p w14:paraId="5DA0627F">
            <w:pPr>
              <w:pStyle w:val="6"/>
              <w:widowControl/>
              <w:spacing w:beforeAutospacing="0" w:afterAutospacing="0" w:line="324" w:lineRule="atLeast"/>
              <w:ind w:left="105"/>
            </w:pPr>
            <w:r>
              <w:t>-20dBm~+10dBm(87~117dbµV), 0.1dB stepping</w:t>
            </w:r>
          </w:p>
        </w:tc>
      </w:tr>
      <w:tr w14:paraId="323A19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5EF2B51D">
            <w:pPr>
              <w:jc w:val="left"/>
              <w:rPr>
                <w:rFonts w:ascii="宋体"/>
                <w:sz w:val="24"/>
                <w:szCs w:val="24"/>
              </w:rPr>
            </w:pPr>
          </w:p>
        </w:tc>
        <w:tc>
          <w:tcPr>
            <w:tcW w:w="2415" w:type="dxa"/>
            <w:shd w:val="clear" w:color="auto" w:fill="auto"/>
            <w:vAlign w:val="center"/>
          </w:tcPr>
          <w:p w14:paraId="6EA37B40">
            <w:pPr>
              <w:pStyle w:val="6"/>
              <w:widowControl/>
              <w:spacing w:beforeAutospacing="0" w:afterAutospacing="0" w:line="324" w:lineRule="atLeast"/>
              <w:ind w:left="34"/>
            </w:pPr>
            <w:r>
              <w:t>MER</w:t>
            </w:r>
          </w:p>
        </w:tc>
        <w:tc>
          <w:tcPr>
            <w:tcW w:w="5535" w:type="dxa"/>
            <w:gridSpan w:val="2"/>
            <w:shd w:val="clear" w:color="auto" w:fill="auto"/>
            <w:vAlign w:val="center"/>
          </w:tcPr>
          <w:p w14:paraId="5F477D17">
            <w:pPr>
              <w:pStyle w:val="6"/>
              <w:widowControl/>
              <w:spacing w:beforeAutospacing="0" w:afterAutospacing="0" w:line="324" w:lineRule="atLeast"/>
              <w:ind w:left="105"/>
            </w:pPr>
            <w:r>
              <w:t>≥ 40dB</w:t>
            </w:r>
          </w:p>
        </w:tc>
      </w:tr>
      <w:tr w14:paraId="3A07FA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10" w:hRule="atLeast"/>
          <w:tblCellSpacing w:w="0" w:type="dxa"/>
        </w:trPr>
        <w:tc>
          <w:tcPr>
            <w:tcW w:w="1845" w:type="dxa"/>
            <w:shd w:val="clear" w:color="auto" w:fill="auto"/>
            <w:vAlign w:val="center"/>
          </w:tcPr>
          <w:p w14:paraId="5D101180">
            <w:pPr>
              <w:pStyle w:val="6"/>
              <w:widowControl/>
              <w:spacing w:beforeAutospacing="0" w:afterAutospacing="0" w:line="324" w:lineRule="atLeast"/>
            </w:pPr>
            <w:r>
              <w:rPr>
                <w:rStyle w:val="10"/>
              </w:rPr>
              <w:t>TS output</w:t>
            </w:r>
          </w:p>
        </w:tc>
        <w:tc>
          <w:tcPr>
            <w:tcW w:w="2415" w:type="dxa"/>
            <w:shd w:val="clear" w:color="auto" w:fill="auto"/>
            <w:vAlign w:val="center"/>
          </w:tcPr>
          <w:p w14:paraId="30B62197">
            <w:pPr>
              <w:pStyle w:val="6"/>
              <w:widowControl/>
              <w:spacing w:beforeAutospacing="0" w:afterAutospacing="0" w:line="324" w:lineRule="atLeast"/>
              <w:ind w:left="34"/>
            </w:pPr>
            <w:r>
              <w:t>Per Daughter QAM Card</w:t>
            </w:r>
          </w:p>
        </w:tc>
        <w:tc>
          <w:tcPr>
            <w:tcW w:w="5535" w:type="dxa"/>
            <w:gridSpan w:val="2"/>
            <w:shd w:val="clear" w:color="auto" w:fill="auto"/>
            <w:vAlign w:val="center"/>
          </w:tcPr>
          <w:p w14:paraId="20396D61">
            <w:pPr>
              <w:pStyle w:val="6"/>
              <w:widowControl/>
              <w:spacing w:beforeAutospacing="0" w:afterAutospacing="0" w:line="324" w:lineRule="atLeast"/>
              <w:ind w:left="34"/>
            </w:pPr>
            <w:r>
              <w:t>48 IP output over UDP/RTP/RTSP, 2*100/1000M self-adaption, Ethernet Ports, unicast/multicast</w:t>
            </w:r>
          </w:p>
          <w:p w14:paraId="6753EA3F">
            <w:pPr>
              <w:pStyle w:val="6"/>
              <w:widowControl/>
              <w:spacing w:beforeAutospacing="0" w:afterAutospacing="0" w:line="324" w:lineRule="atLeast"/>
              <w:ind w:left="34"/>
            </w:pPr>
            <w:r>
              <w:t>IP 1~24 out thru Data1, IP 25~48 out thru Data2.</w:t>
            </w:r>
          </w:p>
        </w:tc>
      </w:tr>
      <w:tr w14:paraId="5D6EBF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0F6570BA">
            <w:pPr>
              <w:pStyle w:val="6"/>
              <w:widowControl/>
              <w:spacing w:beforeAutospacing="0" w:afterAutospacing="0" w:line="324" w:lineRule="atLeast"/>
            </w:pPr>
            <w:r>
              <w:rPr>
                <w:rStyle w:val="10"/>
              </w:rPr>
              <w:t>System</w:t>
            </w:r>
          </w:p>
        </w:tc>
        <w:tc>
          <w:tcPr>
            <w:tcW w:w="7935" w:type="dxa"/>
            <w:gridSpan w:val="3"/>
            <w:shd w:val="clear" w:color="auto" w:fill="auto"/>
            <w:vAlign w:val="center"/>
          </w:tcPr>
          <w:p w14:paraId="0B1679E9">
            <w:pPr>
              <w:pStyle w:val="6"/>
              <w:widowControl/>
              <w:spacing w:beforeAutospacing="0" w:afterAutospacing="0" w:line="324" w:lineRule="atLeast"/>
              <w:ind w:left="34"/>
            </w:pPr>
            <w:r>
              <w:t>Network management software (NMS) supporting</w:t>
            </w:r>
          </w:p>
        </w:tc>
      </w:tr>
      <w:tr w14:paraId="002BDF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4ADC131F">
            <w:pPr>
              <w:pStyle w:val="6"/>
              <w:widowControl/>
              <w:spacing w:beforeAutospacing="0" w:afterAutospacing="0" w:line="324" w:lineRule="atLeast"/>
            </w:pPr>
            <w:r>
              <w:rPr>
                <w:rStyle w:val="10"/>
              </w:rPr>
              <w:t>General</w:t>
            </w:r>
          </w:p>
        </w:tc>
        <w:tc>
          <w:tcPr>
            <w:tcW w:w="2415" w:type="dxa"/>
            <w:shd w:val="clear" w:color="auto" w:fill="auto"/>
            <w:vAlign w:val="center"/>
          </w:tcPr>
          <w:p w14:paraId="74743EA7">
            <w:pPr>
              <w:pStyle w:val="6"/>
              <w:widowControl/>
              <w:spacing w:beforeAutospacing="0" w:afterAutospacing="0" w:line="324" w:lineRule="atLeast"/>
              <w:ind w:left="34"/>
            </w:pPr>
            <w:r>
              <w:t>Demission</w:t>
            </w:r>
          </w:p>
        </w:tc>
        <w:tc>
          <w:tcPr>
            <w:tcW w:w="5535" w:type="dxa"/>
            <w:gridSpan w:val="2"/>
            <w:shd w:val="clear" w:color="auto" w:fill="auto"/>
            <w:vAlign w:val="center"/>
          </w:tcPr>
          <w:p w14:paraId="324BF58C">
            <w:pPr>
              <w:pStyle w:val="6"/>
              <w:widowControl/>
              <w:spacing w:beforeAutospacing="0" w:afterAutospacing="0" w:line="324" w:lineRule="atLeast"/>
              <w:ind w:left="34"/>
            </w:pPr>
            <w:r>
              <w:t>420mm×440mm×44.5mm (WxLxH)</w:t>
            </w:r>
          </w:p>
        </w:tc>
      </w:tr>
      <w:tr w14:paraId="1CDBFA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76BD8062">
            <w:pPr>
              <w:jc w:val="left"/>
              <w:rPr>
                <w:rFonts w:ascii="宋体"/>
                <w:sz w:val="24"/>
                <w:szCs w:val="24"/>
              </w:rPr>
            </w:pPr>
          </w:p>
        </w:tc>
        <w:tc>
          <w:tcPr>
            <w:tcW w:w="2415" w:type="dxa"/>
            <w:shd w:val="clear" w:color="auto" w:fill="auto"/>
            <w:vAlign w:val="center"/>
          </w:tcPr>
          <w:p w14:paraId="16FAE60B">
            <w:pPr>
              <w:pStyle w:val="6"/>
              <w:widowControl/>
              <w:spacing w:beforeAutospacing="0" w:afterAutospacing="0" w:line="324" w:lineRule="atLeast"/>
              <w:ind w:left="34"/>
            </w:pPr>
            <w:r>
              <w:t>Weight</w:t>
            </w:r>
          </w:p>
        </w:tc>
        <w:tc>
          <w:tcPr>
            <w:tcW w:w="5535" w:type="dxa"/>
            <w:gridSpan w:val="2"/>
            <w:shd w:val="clear" w:color="auto" w:fill="auto"/>
            <w:vAlign w:val="center"/>
          </w:tcPr>
          <w:p w14:paraId="2524AB7B">
            <w:pPr>
              <w:pStyle w:val="6"/>
              <w:widowControl/>
              <w:spacing w:beforeAutospacing="0" w:afterAutospacing="0" w:line="324" w:lineRule="atLeast"/>
              <w:ind w:left="34"/>
            </w:pPr>
            <w:r>
              <w:t>5kg</w:t>
            </w:r>
          </w:p>
        </w:tc>
      </w:tr>
      <w:tr w14:paraId="2599DED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65069A70">
            <w:pPr>
              <w:jc w:val="left"/>
              <w:rPr>
                <w:rFonts w:ascii="宋体"/>
                <w:sz w:val="24"/>
                <w:szCs w:val="24"/>
              </w:rPr>
            </w:pPr>
          </w:p>
        </w:tc>
        <w:tc>
          <w:tcPr>
            <w:tcW w:w="2415" w:type="dxa"/>
            <w:shd w:val="clear" w:color="auto" w:fill="auto"/>
            <w:vAlign w:val="center"/>
          </w:tcPr>
          <w:p w14:paraId="76907336">
            <w:pPr>
              <w:pStyle w:val="6"/>
              <w:widowControl/>
              <w:spacing w:beforeAutospacing="0" w:afterAutospacing="0" w:line="324" w:lineRule="atLeast"/>
              <w:ind w:left="34"/>
            </w:pPr>
            <w:r>
              <w:t>Temperature</w:t>
            </w:r>
          </w:p>
        </w:tc>
        <w:tc>
          <w:tcPr>
            <w:tcW w:w="5535" w:type="dxa"/>
            <w:gridSpan w:val="2"/>
            <w:shd w:val="clear" w:color="auto" w:fill="auto"/>
            <w:vAlign w:val="center"/>
          </w:tcPr>
          <w:p w14:paraId="47D1A427">
            <w:pPr>
              <w:pStyle w:val="6"/>
              <w:widowControl/>
              <w:spacing w:beforeAutospacing="0" w:afterAutospacing="0" w:line="324" w:lineRule="atLeast"/>
              <w:ind w:left="34"/>
            </w:pPr>
            <w:r>
              <w:t>0~45℃(operation), -20~80℃(storage)</w:t>
            </w:r>
          </w:p>
        </w:tc>
      </w:tr>
      <w:tr w14:paraId="0FE228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68F157AE">
            <w:pPr>
              <w:jc w:val="left"/>
              <w:rPr>
                <w:rFonts w:ascii="宋体"/>
                <w:sz w:val="24"/>
                <w:szCs w:val="24"/>
              </w:rPr>
            </w:pPr>
          </w:p>
        </w:tc>
        <w:tc>
          <w:tcPr>
            <w:tcW w:w="2415" w:type="dxa"/>
            <w:shd w:val="clear" w:color="auto" w:fill="auto"/>
            <w:vAlign w:val="center"/>
          </w:tcPr>
          <w:p w14:paraId="1CD79DBD">
            <w:pPr>
              <w:pStyle w:val="6"/>
              <w:widowControl/>
              <w:spacing w:beforeAutospacing="0" w:afterAutospacing="0" w:line="324" w:lineRule="atLeast"/>
              <w:ind w:left="34"/>
            </w:pPr>
            <w:r>
              <w:t>Power Supply</w:t>
            </w:r>
          </w:p>
        </w:tc>
        <w:tc>
          <w:tcPr>
            <w:tcW w:w="5535" w:type="dxa"/>
            <w:gridSpan w:val="2"/>
            <w:shd w:val="clear" w:color="auto" w:fill="auto"/>
            <w:vAlign w:val="center"/>
          </w:tcPr>
          <w:p w14:paraId="1F3EC473">
            <w:pPr>
              <w:pStyle w:val="6"/>
              <w:widowControl/>
              <w:spacing w:beforeAutospacing="0" w:afterAutospacing="0" w:line="324" w:lineRule="atLeast"/>
              <w:ind w:left="34"/>
            </w:pPr>
            <w:r>
              <w:t>AC 100V±10%, 50/60Hz ; or  AC 220V±10%, 50/60Hz</w:t>
            </w:r>
          </w:p>
        </w:tc>
      </w:tr>
      <w:tr w14:paraId="378532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AA2D155">
            <w:pPr>
              <w:jc w:val="left"/>
              <w:rPr>
                <w:rFonts w:ascii="宋体"/>
                <w:sz w:val="24"/>
                <w:szCs w:val="24"/>
              </w:rPr>
            </w:pPr>
          </w:p>
        </w:tc>
        <w:tc>
          <w:tcPr>
            <w:tcW w:w="2415" w:type="dxa"/>
            <w:shd w:val="clear" w:color="auto" w:fill="auto"/>
            <w:vAlign w:val="center"/>
          </w:tcPr>
          <w:p w14:paraId="461B2ADA">
            <w:pPr>
              <w:pStyle w:val="6"/>
              <w:widowControl/>
              <w:spacing w:beforeAutospacing="0" w:afterAutospacing="0" w:line="324" w:lineRule="atLeast"/>
              <w:ind w:left="34"/>
            </w:pPr>
            <w:r>
              <w:t>Consumption</w:t>
            </w:r>
          </w:p>
        </w:tc>
        <w:tc>
          <w:tcPr>
            <w:tcW w:w="5535" w:type="dxa"/>
            <w:gridSpan w:val="2"/>
            <w:shd w:val="clear" w:color="auto" w:fill="auto"/>
            <w:vAlign w:val="center"/>
          </w:tcPr>
          <w:p w14:paraId="4C5BF8FD">
            <w:pPr>
              <w:pStyle w:val="6"/>
              <w:widowControl/>
              <w:spacing w:beforeAutospacing="0" w:afterAutospacing="0" w:line="324" w:lineRule="atLeast"/>
              <w:ind w:left="34"/>
            </w:pPr>
            <w:r>
              <w:t>15.4W</w:t>
            </w:r>
          </w:p>
        </w:tc>
      </w:tr>
    </w:tbl>
    <w:p w14:paraId="2004D227">
      <w:pPr>
        <w:pStyle w:val="6"/>
        <w:widowControl/>
        <w:spacing w:beforeAutospacing="0" w:afterAutospacing="0" w:line="324" w:lineRule="atLeast"/>
      </w:pPr>
      <w:r>
        <w:rPr>
          <w:rFonts w:ascii="Verdana" w:hAnsi="Verdana" w:cs="Verdana"/>
          <w:color w:val="333333"/>
          <w:sz w:val="18"/>
          <w:szCs w:val="18"/>
          <w:shd w:val="clear" w:color="auto" w:fill="FEFCFD"/>
        </w:rPr>
        <w:t> </w:t>
      </w:r>
    </w:p>
    <w:p w14:paraId="16D46A5D">
      <w:pPr>
        <w:pStyle w:val="6"/>
        <w:widowControl/>
        <w:spacing w:beforeAutospacing="0" w:afterAutospacing="0" w:line="324" w:lineRule="atLeast"/>
      </w:pPr>
      <w:r>
        <w:rPr>
          <w:rFonts w:ascii="Verdana" w:hAnsi="Verdana" w:cs="Verdana"/>
          <w:color w:val="333333"/>
          <w:sz w:val="18"/>
          <w:szCs w:val="18"/>
          <w:shd w:val="clear" w:color="auto" w:fill="FEFCFD"/>
        </w:rPr>
        <w:t> </w:t>
      </w:r>
    </w:p>
    <w:p w14:paraId="2F4C5C30">
      <w:pPr>
        <w:widowControl/>
        <w:shd w:val="clear" w:color="auto" w:fill="F2F2F4"/>
        <w:jc w:val="left"/>
        <w:rPr>
          <w:rFonts w:ascii="Verdana" w:hAnsi="Verdana" w:cs="Verdana"/>
          <w:color w:val="333333"/>
          <w:sz w:val="18"/>
          <w:szCs w:val="18"/>
        </w:rPr>
      </w:pPr>
    </w:p>
    <w:p w14:paraId="510A56F0">
      <w:pPr>
        <w:rPr>
          <w:rFonts w:ascii="Verdana" w:hAnsi="Verdana" w:cs="Verdana"/>
          <w:color w:val="000000"/>
          <w:sz w:val="28"/>
        </w:rPr>
      </w:pPr>
    </w:p>
    <w:p w14:paraId="67788F6D">
      <w:pPr>
        <w:rPr>
          <w:rFonts w:ascii="Verdana" w:hAnsi="Verdana" w:cs="Verdana"/>
          <w:b/>
          <w:color w:val="000000"/>
          <w:sz w:val="22"/>
        </w:rPr>
      </w:pPr>
      <w:r>
        <w:rPr>
          <w:rFonts w:hint="eastAsia" w:ascii="Verdana" w:hAnsi="Verdana" w:cs="Verdana"/>
          <w:b/>
          <w:color w:val="000000"/>
          <w:sz w:val="22"/>
        </w:rPr>
        <w:t>About Us</w:t>
      </w:r>
    </w:p>
    <w:p w14:paraId="53F08AB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784EA87">
      <w:pPr>
        <w:rPr>
          <w:rFonts w:ascii="Verdana" w:hAnsi="Verdana" w:cs="Verdana"/>
          <w:color w:val="000000"/>
          <w:sz w:val="18"/>
        </w:rPr>
      </w:pPr>
    </w:p>
    <w:p w14:paraId="53B6C98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433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3046C2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E2A8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470D2"/>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E4BCB"/>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59E587A"/>
    <w:rsid w:val="0A680B1B"/>
    <w:rsid w:val="0E714EC9"/>
    <w:rsid w:val="0F5F7408"/>
    <w:rsid w:val="0FC87CEA"/>
    <w:rsid w:val="101C4557"/>
    <w:rsid w:val="15C25510"/>
    <w:rsid w:val="18AE427D"/>
    <w:rsid w:val="18E81EA3"/>
    <w:rsid w:val="1A6D3C12"/>
    <w:rsid w:val="1B974A15"/>
    <w:rsid w:val="1CDC4CA0"/>
    <w:rsid w:val="1FCC39C5"/>
    <w:rsid w:val="20F61905"/>
    <w:rsid w:val="2199682E"/>
    <w:rsid w:val="2336355B"/>
    <w:rsid w:val="239E3C7B"/>
    <w:rsid w:val="27B55639"/>
    <w:rsid w:val="2A1C06AF"/>
    <w:rsid w:val="2A752F8B"/>
    <w:rsid w:val="2AED3478"/>
    <w:rsid w:val="2C665CEA"/>
    <w:rsid w:val="2E0F6BE8"/>
    <w:rsid w:val="314F3E41"/>
    <w:rsid w:val="3371586A"/>
    <w:rsid w:val="3B533162"/>
    <w:rsid w:val="45872050"/>
    <w:rsid w:val="45EC7E02"/>
    <w:rsid w:val="478E224E"/>
    <w:rsid w:val="485E04E5"/>
    <w:rsid w:val="487316FE"/>
    <w:rsid w:val="49B75FAC"/>
    <w:rsid w:val="4E4A4BF6"/>
    <w:rsid w:val="4F8D25ED"/>
    <w:rsid w:val="506206DE"/>
    <w:rsid w:val="51AD130D"/>
    <w:rsid w:val="522C1CA9"/>
    <w:rsid w:val="540A3FAB"/>
    <w:rsid w:val="562E484B"/>
    <w:rsid w:val="56834992"/>
    <w:rsid w:val="5930748A"/>
    <w:rsid w:val="59933671"/>
    <w:rsid w:val="5AA83521"/>
    <w:rsid w:val="5EEA5249"/>
    <w:rsid w:val="609213A6"/>
    <w:rsid w:val="616C5901"/>
    <w:rsid w:val="61BA6334"/>
    <w:rsid w:val="63C27F07"/>
    <w:rsid w:val="686614B7"/>
    <w:rsid w:val="68AD6386"/>
    <w:rsid w:val="6D7A6503"/>
    <w:rsid w:val="70757613"/>
    <w:rsid w:val="70B756B4"/>
    <w:rsid w:val="714C763F"/>
    <w:rsid w:val="73270F88"/>
    <w:rsid w:val="74455F31"/>
    <w:rsid w:val="747D78BC"/>
    <w:rsid w:val="7540100C"/>
    <w:rsid w:val="7758203D"/>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DHP200A/3EEECN_20200331055423.png" TargetMode="External"/><Relationship Id="rId8" Type="http://schemas.openxmlformats.org/officeDocument/2006/relationships/image" Target="media/image3.png"/><Relationship Id="rId7" Type="http://schemas.openxmlformats.org/officeDocument/2006/relationships/hyperlink" Target="https://english.dsdvb.com/Upload/images/Product/IPQAM/DHP200A/3EEECN_20200331055415.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194</Words>
  <Characters>1123</Characters>
  <Lines>22</Lines>
  <Paragraphs>6</Paragraphs>
  <TotalTime>0</TotalTime>
  <ScaleCrop>false</ScaleCrop>
  <LinksUpToDate>false</LinksUpToDate>
  <CharactersWithSpaces>1308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2025-08-20T06:50:53Z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