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8D0865">
      <w:pPr>
        <w:pStyle w:val="6"/>
        <w:widowControl/>
        <w:spacing w:beforeAutospacing="0" w:afterAutospacing="0" w:line="324" w:lineRule="atLeast"/>
        <w:jc w:val="center"/>
      </w:pPr>
      <w:bookmarkStart w:id="0" w:name="_GoBack"/>
      <w:r>
        <w:rPr>
          <w:rFonts w:hint="eastAsia" w:ascii="Verdana" w:hAnsi="Verdana" w:cs="Verdana"/>
          <w:b/>
          <w:i w:val="0"/>
          <w:strike w:val="0"/>
          <w:color w:val="000000"/>
          <w:sz w:val="28"/>
          <w:lang w:eastAsia="zh-CN"/>
        </w:rPr>
        <w:t>FMUSER FUQ-200B Multiplexer Scrambler Modulator 112 DVB-C QAM Channels 10G SFP+-RJ45 IP Input-Output Web-Based Management Broadcast Cable TV</w:t>
      </w:r>
      <w:bookmarkEnd w:id="0"/>
      <w:r>
        <w:rPr>
          <w:rFonts w:ascii="Verdana" w:hAnsi="Verdana" w:cs="Verdana"/>
          <w:color w:val="000000"/>
          <w:sz w:val="28"/>
        </w:rPr>
        <w:drawing>
          <wp:inline distT="0" distB="0" distL="114300" distR="114300">
            <wp:extent cx="6181725" cy="3400425"/>
            <wp:effectExtent l="0" t="0" r="9525" b="9525"/>
            <wp:docPr id="1" name="图片 1" descr="3EEECN_20210602074513"/>
            <wp:cNvGraphicFramePr/>
            <a:graphic xmlns:a="http://schemas.openxmlformats.org/drawingml/2006/main">
              <a:graphicData uri="http://schemas.openxmlformats.org/drawingml/2006/picture">
                <pic:pic xmlns:pic="http://schemas.openxmlformats.org/drawingml/2006/picture">
                  <pic:nvPicPr>
                    <pic:cNvPr id="1" name="图片 1" descr="3EEECN_20210602074513"/>
                    <pic:cNvPicPr/>
                  </pic:nvPicPr>
                  <pic:blipFill>
                    <a:blip r:embed="rId6"/>
                    <a:stretch>
                      <a:fillRect/>
                    </a:stretch>
                  </pic:blipFill>
                  <pic:spPr>
                    <a:xfrm>
                      <a:off x="0" y="0"/>
                      <a:ext cx="6181725" cy="3400425"/>
                    </a:xfrm>
                    <a:prstGeom prst="rect">
                      <a:avLst/>
                    </a:prstGeom>
                  </pic:spPr>
                </pic:pic>
              </a:graphicData>
            </a:graphic>
          </wp:inline>
        </w:drawing>
      </w:r>
      <w:r>
        <w:rPr>
          <w:rStyle w:val="10"/>
          <w:rFonts w:ascii="Verdana" w:hAnsi="Verdana" w:cs="Verdana"/>
          <w:color w:val="333333"/>
          <w:sz w:val="18"/>
          <w:szCs w:val="18"/>
          <w:shd w:val="clear" w:color="auto" w:fill="FEFCFD"/>
        </w:rPr>
        <w:t>Product Overview</w:t>
      </w:r>
    </w:p>
    <w:p w14:paraId="63A26D93">
      <w:pPr>
        <w:pStyle w:val="6"/>
        <w:widowControl/>
        <w:spacing w:beforeAutospacing="0" w:afterAutospacing="0" w:line="324" w:lineRule="atLeast"/>
        <w:ind w:left="424"/>
      </w:pPr>
      <w:r>
        <w:rPr>
          <w:rFonts w:hint="eastAsia" w:ascii="Verdana" w:hAnsi="Verdana" w:cs="Verdana"/>
          <w:color w:val="333333"/>
          <w:sz w:val="18"/>
          <w:szCs w:val="18"/>
          <w:shd w:val="clear" w:color="auto" w:fill="FEFCFD"/>
          <w:lang w:eastAsia="zh-CN"/>
        </w:rPr>
        <w:t>The FMUSER FUQ-200B integrates a multiplexer, scrambler, and modulator, featuring 10G SFP+/SFP ports and GE ports for IP input/output. It processes 10G optical signals efficiently, supporting up to 112 DVB-C QAM channels. Housed in a compact 1U chassis, it offers web-based management for easy control. Ideal for broadcast systems, enabling high-density operations in cable TV and digital broadcasting.</w:t>
      </w:r>
      <w:r>
        <w:rPr>
          <w:rFonts w:ascii="Verdana" w:hAnsi="Verdana" w:cs="Verdana"/>
          <w:color w:val="333333"/>
          <w:sz w:val="18"/>
          <w:szCs w:val="18"/>
          <w:shd w:val="clear" w:color="auto" w:fill="FEFCFD"/>
        </w:rPr>
        <w:t>The device is equipped with one fixed 64ch QAM card and another card slot to expand qam card (16/32/48QAM optional). Its high density helps operators to save cost to the most extent.</w:t>
      </w:r>
    </w:p>
    <w:p w14:paraId="3226B1A3">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p w14:paraId="15358634">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3EE3A89D">
      <w:pPr>
        <w:pStyle w:val="6"/>
        <w:widowControl/>
        <w:spacing w:beforeAutospacing="0" w:afterAutospacing="0" w:line="324" w:lineRule="atLeast"/>
        <w:ind w:left="420"/>
        <w:rPr>
          <w:rFonts w:hint="eastAsia"/>
        </w:rPr>
      </w:pPr>
      <w:r>
        <w:rPr>
          <w:rFonts w:hint="eastAsia"/>
        </w:rPr>
        <w:t xml:space="preserve">Supports high-density modular design in a 1U chassis with plug-in QAM cards, accommodating up to 112 non-adjacent carriers.  </w:t>
      </w:r>
    </w:p>
    <w:p w14:paraId="4115534C">
      <w:pPr>
        <w:pStyle w:val="6"/>
        <w:widowControl/>
        <w:spacing w:beforeAutospacing="0" w:afterAutospacing="0" w:line="324" w:lineRule="atLeast"/>
        <w:ind w:left="420"/>
        <w:rPr>
          <w:rFonts w:hint="eastAsia"/>
        </w:rPr>
      </w:pPr>
      <w:r>
        <w:rPr>
          <w:rFonts w:hint="eastAsia"/>
        </w:rPr>
        <w:t xml:space="preserve">Features 10G SFP+/SFP ports and GE ports for flexible IP input/output, handling up to 9600Mbps per channel.  </w:t>
      </w:r>
    </w:p>
    <w:p w14:paraId="2984A0B6">
      <w:pPr>
        <w:pStyle w:val="6"/>
        <w:widowControl/>
        <w:spacing w:beforeAutospacing="0" w:afterAutospacing="0" w:line="324" w:lineRule="atLeast"/>
        <w:ind w:left="420"/>
        <w:rPr>
          <w:rFonts w:hint="eastAsia"/>
        </w:rPr>
      </w:pPr>
      <w:r>
        <w:rPr>
          <w:rFonts w:hint="eastAsia"/>
        </w:rPr>
        <w:t xml:space="preserve">Integrates multiplexer and scrambler with 6 CAS Simul-cryption, PID remapping, and PSI/SI editing.  </w:t>
      </w:r>
    </w:p>
    <w:p w14:paraId="2B52982F">
      <w:pPr>
        <w:pStyle w:val="6"/>
        <w:widowControl/>
        <w:spacing w:beforeAutospacing="0" w:afterAutospacing="0" w:line="324" w:lineRule="atLeast"/>
        <w:ind w:left="420"/>
      </w:pPr>
      <w:r>
        <w:rPr>
          <w:rFonts w:hint="eastAsia"/>
        </w:rPr>
        <w:t>Enables web-based management for easy network control and configuration.</w:t>
      </w:r>
    </w:p>
    <w:p w14:paraId="22B24CEE">
      <w:pPr>
        <w:pStyle w:val="6"/>
        <w:widowControl/>
        <w:spacing w:beforeAutospacing="0" w:afterAutospacing="0" w:line="324" w:lineRule="atLeast"/>
        <w:ind w:left="420"/>
      </w:pPr>
      <w:r>
        <w:rPr>
          <w:rFonts w:ascii="Verdana" w:hAnsi="Verdana" w:cs="Verdana"/>
          <w:color w:val="333333"/>
          <w:sz w:val="18"/>
          <w:szCs w:val="18"/>
          <w:shd w:val="clear" w:color="auto" w:fill="FEFCFD"/>
        </w:rPr>
        <w:t> </w:t>
      </w:r>
    </w:p>
    <w:p w14:paraId="2DF919A7">
      <w:pPr>
        <w:pStyle w:val="6"/>
        <w:widowControl/>
        <w:spacing w:beforeAutospacing="0" w:afterAutospacing="0" w:line="324" w:lineRule="atLeast"/>
      </w:pPr>
      <w:r>
        <w:rPr>
          <w:rStyle w:val="10"/>
          <w:rFonts w:ascii="Verdana" w:hAnsi="Verdana" w:cs="Verdana"/>
          <w:color w:val="333333"/>
          <w:sz w:val="18"/>
          <w:szCs w:val="18"/>
          <w:shd w:val="clear" w:color="auto" w:fill="FEFCFD"/>
        </w:rPr>
        <w:t>Inner Principle Chart (Example: one 64qam card + one 48qam card)</w:t>
      </w:r>
    </w:p>
    <w:p w14:paraId="37DC86DA">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79185" cy="3916045"/>
            <wp:effectExtent l="0" t="0" r="12065" b="825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79185" cy="3916045"/>
                    </a:xfrm>
                    <a:prstGeom prst="rect">
                      <a:avLst/>
                    </a:prstGeom>
                    <a:noFill/>
                    <a:ln w="9525">
                      <a:noFill/>
                    </a:ln>
                  </pic:spPr>
                </pic:pic>
              </a:graphicData>
            </a:graphic>
          </wp:inline>
        </w:drawing>
      </w:r>
    </w:p>
    <w:p w14:paraId="013BFA67">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02A43581">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p w14:paraId="3BCBBC88">
      <w:pPr>
        <w:pStyle w:val="6"/>
        <w:widowControl/>
        <w:spacing w:beforeAutospacing="0" w:afterAutospacing="0" w:line="324" w:lineRule="atLeast"/>
      </w:pPr>
      <w:r>
        <w:rPr>
          <w:rStyle w:val="10"/>
          <w:rFonts w:ascii="Verdana" w:hAnsi="Verdana" w:cs="Verdana"/>
          <w:color w:val="333333"/>
          <w:sz w:val="18"/>
          <w:szCs w:val="18"/>
          <w:shd w:val="clear" w:color="auto" w:fill="FEFCFD"/>
        </w:rPr>
        <w:t>Carrier Setting Illustration (Example: 64qam card)</w:t>
      </w:r>
    </w:p>
    <w:p w14:paraId="4BF1641C">
      <w:pPr>
        <w:pStyle w:val="6"/>
        <w:widowControl/>
        <w:spacing w:beforeAutospacing="0" w:afterAutospacing="0" w:line="324" w:lineRule="atLeast"/>
        <w:ind w:left="424"/>
        <w:jc w:val="center"/>
      </w:pPr>
      <w:r>
        <w:rPr>
          <w:rFonts w:ascii="Verdana" w:hAnsi="Verdana" w:cs="Verdana"/>
          <w:color w:val="333333"/>
          <w:sz w:val="18"/>
          <w:szCs w:val="18"/>
          <w:shd w:val="clear" w:color="auto" w:fill="FEFCFD"/>
        </w:rPr>
        <w:drawing>
          <wp:inline distT="0" distB="0" distL="114300" distR="114300">
            <wp:extent cx="6179185" cy="2053590"/>
            <wp:effectExtent l="0" t="0" r="12065" b="3810"/>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79185" cy="2053590"/>
                    </a:xfrm>
                    <a:prstGeom prst="rect">
                      <a:avLst/>
                    </a:prstGeom>
                    <a:noFill/>
                    <a:ln w="9525">
                      <a:noFill/>
                    </a:ln>
                  </pic:spPr>
                </pic:pic>
              </a:graphicData>
            </a:graphic>
          </wp:inline>
        </w:drawing>
      </w:r>
    </w:p>
    <w:p w14:paraId="63D5C9A7">
      <w:pPr>
        <w:pStyle w:val="6"/>
        <w:widowControl/>
        <w:spacing w:beforeAutospacing="0" w:afterAutospacing="0" w:line="324" w:lineRule="atLeast"/>
        <w:ind w:left="424"/>
        <w:jc w:val="center"/>
      </w:pPr>
      <w:r>
        <w:rPr>
          <w:rFonts w:ascii="Verdana" w:hAnsi="Verdana" w:cs="Verdana"/>
          <w:color w:val="333333"/>
          <w:sz w:val="18"/>
          <w:szCs w:val="18"/>
          <w:shd w:val="clear" w:color="auto" w:fill="FEFCFD"/>
        </w:rPr>
        <w:t> </w:t>
      </w:r>
    </w:p>
    <w:p w14:paraId="5716E42A">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689"/>
        <w:gridCol w:w="2536"/>
        <w:gridCol w:w="15"/>
        <w:gridCol w:w="1122"/>
        <w:gridCol w:w="4388"/>
      </w:tblGrid>
      <w:tr w14:paraId="7B2279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restart"/>
            <w:shd w:val="clear" w:color="auto" w:fill="auto"/>
            <w:vAlign w:val="center"/>
          </w:tcPr>
          <w:p w14:paraId="4DE456EC">
            <w:pPr>
              <w:pStyle w:val="6"/>
              <w:widowControl/>
              <w:spacing w:beforeAutospacing="0" w:afterAutospacing="0" w:line="324" w:lineRule="atLeast"/>
            </w:pPr>
            <w:r>
              <w:rPr>
                <w:rStyle w:val="10"/>
              </w:rPr>
              <w:t>Input</w:t>
            </w:r>
          </w:p>
        </w:tc>
        <w:tc>
          <w:tcPr>
            <w:tcW w:w="2550" w:type="dxa"/>
            <w:shd w:val="clear" w:color="auto" w:fill="auto"/>
            <w:vAlign w:val="center"/>
          </w:tcPr>
          <w:p w14:paraId="283D05DC">
            <w:pPr>
              <w:pStyle w:val="6"/>
              <w:widowControl/>
              <w:spacing w:beforeAutospacing="0" w:afterAutospacing="0" w:line="324" w:lineRule="atLeast"/>
            </w:pPr>
            <w:r>
              <w:t>Input from Front Panel</w:t>
            </w:r>
          </w:p>
        </w:tc>
        <w:tc>
          <w:tcPr>
            <w:tcW w:w="5535" w:type="dxa"/>
            <w:gridSpan w:val="3"/>
            <w:shd w:val="clear" w:color="auto" w:fill="auto"/>
            <w:vAlign w:val="center"/>
          </w:tcPr>
          <w:p w14:paraId="5B76BF65">
            <w:pPr>
              <w:pStyle w:val="6"/>
              <w:widowControl/>
              <w:spacing w:beforeAutospacing="0" w:afterAutospacing="0" w:line="324" w:lineRule="atLeast"/>
            </w:pPr>
            <w:r>
              <w:t>Max 512 IP in per card through SFP+/SFP ports 1-3</w:t>
            </w:r>
          </w:p>
        </w:tc>
      </w:tr>
      <w:tr w14:paraId="665591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4AD12247">
            <w:pPr>
              <w:jc w:val="left"/>
              <w:rPr>
                <w:rFonts w:ascii="宋体"/>
                <w:sz w:val="24"/>
                <w:szCs w:val="24"/>
              </w:rPr>
            </w:pPr>
          </w:p>
        </w:tc>
        <w:tc>
          <w:tcPr>
            <w:tcW w:w="2550" w:type="dxa"/>
            <w:shd w:val="clear" w:color="auto" w:fill="auto"/>
            <w:vAlign w:val="center"/>
          </w:tcPr>
          <w:p w14:paraId="191172F8">
            <w:pPr>
              <w:pStyle w:val="6"/>
              <w:widowControl/>
              <w:spacing w:beforeAutospacing="0" w:afterAutospacing="0" w:line="324" w:lineRule="atLeast"/>
            </w:pPr>
            <w:r>
              <w:t>Input from Daughter Card</w:t>
            </w:r>
          </w:p>
        </w:tc>
        <w:tc>
          <w:tcPr>
            <w:tcW w:w="5535" w:type="dxa"/>
            <w:gridSpan w:val="3"/>
            <w:shd w:val="clear" w:color="auto" w:fill="auto"/>
            <w:vAlign w:val="center"/>
          </w:tcPr>
          <w:p w14:paraId="37A6653E">
            <w:pPr>
              <w:pStyle w:val="6"/>
              <w:widowControl/>
              <w:spacing w:beforeAutospacing="0" w:afterAutospacing="0" w:line="324" w:lineRule="atLeast"/>
            </w:pPr>
            <w:r>
              <w:t>IP from 2 GE ports (SFP port optional)</w:t>
            </w:r>
          </w:p>
        </w:tc>
      </w:tr>
      <w:tr w14:paraId="1DFF47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525CDAEB">
            <w:pPr>
              <w:jc w:val="left"/>
              <w:rPr>
                <w:rFonts w:ascii="宋体"/>
                <w:sz w:val="24"/>
                <w:szCs w:val="24"/>
              </w:rPr>
            </w:pPr>
          </w:p>
        </w:tc>
        <w:tc>
          <w:tcPr>
            <w:tcW w:w="2550" w:type="dxa"/>
            <w:shd w:val="clear" w:color="auto" w:fill="auto"/>
            <w:vAlign w:val="center"/>
          </w:tcPr>
          <w:p w14:paraId="15B2D602">
            <w:pPr>
              <w:pStyle w:val="6"/>
              <w:widowControl/>
              <w:spacing w:beforeAutospacing="0" w:afterAutospacing="0" w:line="324" w:lineRule="atLeast"/>
            </w:pPr>
            <w:r>
              <w:t>Transmission Rate</w:t>
            </w:r>
          </w:p>
        </w:tc>
        <w:tc>
          <w:tcPr>
            <w:tcW w:w="5535" w:type="dxa"/>
            <w:gridSpan w:val="3"/>
            <w:shd w:val="clear" w:color="auto" w:fill="auto"/>
            <w:vAlign w:val="center"/>
          </w:tcPr>
          <w:p w14:paraId="44845152">
            <w:pPr>
              <w:pStyle w:val="6"/>
              <w:widowControl/>
              <w:spacing w:beforeAutospacing="0" w:afterAutospacing="0" w:line="324" w:lineRule="atLeast"/>
            </w:pPr>
            <w:r>
              <w:t>Max 9600Mbps for each 10G SFP+/SFP input</w:t>
            </w:r>
          </w:p>
        </w:tc>
      </w:tr>
      <w:tr w14:paraId="2F7088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2172083E">
            <w:pPr>
              <w:jc w:val="left"/>
              <w:rPr>
                <w:rFonts w:ascii="宋体"/>
                <w:sz w:val="24"/>
                <w:szCs w:val="24"/>
              </w:rPr>
            </w:pPr>
          </w:p>
        </w:tc>
        <w:tc>
          <w:tcPr>
            <w:tcW w:w="2550" w:type="dxa"/>
            <w:shd w:val="clear" w:color="auto" w:fill="auto"/>
            <w:vAlign w:val="center"/>
          </w:tcPr>
          <w:p w14:paraId="30537A0E">
            <w:pPr>
              <w:pStyle w:val="6"/>
              <w:widowControl/>
              <w:spacing w:beforeAutospacing="0" w:afterAutospacing="0" w:line="324" w:lineRule="atLeast"/>
            </w:pPr>
            <w:r>
              <w:t>Transport Protocol</w:t>
            </w:r>
          </w:p>
        </w:tc>
        <w:tc>
          <w:tcPr>
            <w:tcW w:w="5535" w:type="dxa"/>
            <w:gridSpan w:val="3"/>
            <w:shd w:val="clear" w:color="auto" w:fill="auto"/>
            <w:vAlign w:val="center"/>
          </w:tcPr>
          <w:p w14:paraId="57E7BC7C">
            <w:pPr>
              <w:pStyle w:val="6"/>
              <w:widowControl/>
              <w:spacing w:beforeAutospacing="0" w:afterAutospacing="0" w:line="324" w:lineRule="atLeast"/>
            </w:pPr>
            <w:r>
              <w:t>TS over UDP/RTP, unicast and multicast, IGMP V2/V3</w:t>
            </w:r>
          </w:p>
        </w:tc>
      </w:tr>
      <w:tr w14:paraId="708BE1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695" w:type="dxa"/>
            <w:vMerge w:val="restart"/>
            <w:shd w:val="clear" w:color="auto" w:fill="auto"/>
            <w:vAlign w:val="center"/>
          </w:tcPr>
          <w:p w14:paraId="3A29C52E">
            <w:pPr>
              <w:pStyle w:val="6"/>
              <w:widowControl/>
              <w:spacing w:beforeAutospacing="0" w:afterAutospacing="0" w:line="324" w:lineRule="atLeast"/>
            </w:pPr>
            <w:r>
              <w:rPr>
                <w:rStyle w:val="10"/>
              </w:rPr>
              <w:t>Mux</w:t>
            </w:r>
          </w:p>
        </w:tc>
        <w:tc>
          <w:tcPr>
            <w:tcW w:w="2550" w:type="dxa"/>
            <w:shd w:val="clear" w:color="auto" w:fill="auto"/>
            <w:vAlign w:val="center"/>
          </w:tcPr>
          <w:p w14:paraId="41A17ED1">
            <w:pPr>
              <w:pStyle w:val="6"/>
              <w:widowControl/>
              <w:spacing w:beforeAutospacing="0" w:afterAutospacing="0" w:line="324" w:lineRule="atLeast"/>
            </w:pPr>
            <w:r>
              <w:t>Max PIDs Remapping</w:t>
            </w:r>
          </w:p>
        </w:tc>
        <w:tc>
          <w:tcPr>
            <w:tcW w:w="5535" w:type="dxa"/>
            <w:gridSpan w:val="3"/>
            <w:shd w:val="clear" w:color="auto" w:fill="auto"/>
            <w:vAlign w:val="center"/>
          </w:tcPr>
          <w:p w14:paraId="15333FD1">
            <w:pPr>
              <w:pStyle w:val="6"/>
              <w:widowControl/>
              <w:spacing w:beforeAutospacing="0" w:afterAutospacing="0" w:line="324" w:lineRule="atLeast"/>
            </w:pPr>
            <w:r>
              <w:t>256 per output channel</w:t>
            </w:r>
          </w:p>
        </w:tc>
      </w:tr>
      <w:tr w14:paraId="333AEC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695" w:type="dxa"/>
            <w:vMerge w:val="continue"/>
            <w:shd w:val="clear" w:color="auto" w:fill="auto"/>
            <w:vAlign w:val="center"/>
          </w:tcPr>
          <w:p w14:paraId="76799B31">
            <w:pPr>
              <w:jc w:val="left"/>
              <w:rPr>
                <w:rFonts w:ascii="宋体"/>
                <w:sz w:val="24"/>
                <w:szCs w:val="24"/>
              </w:rPr>
            </w:pPr>
          </w:p>
        </w:tc>
        <w:tc>
          <w:tcPr>
            <w:tcW w:w="2550" w:type="dxa"/>
            <w:vMerge w:val="restart"/>
            <w:shd w:val="clear" w:color="auto" w:fill="auto"/>
            <w:vAlign w:val="center"/>
          </w:tcPr>
          <w:p w14:paraId="72945BE9">
            <w:pPr>
              <w:pStyle w:val="6"/>
              <w:widowControl/>
              <w:spacing w:beforeAutospacing="0" w:afterAutospacing="0" w:line="324" w:lineRule="atLeast"/>
            </w:pPr>
            <w:r>
              <w:t>Functions</w:t>
            </w:r>
          </w:p>
        </w:tc>
        <w:tc>
          <w:tcPr>
            <w:tcW w:w="5535" w:type="dxa"/>
            <w:gridSpan w:val="3"/>
            <w:shd w:val="clear" w:color="auto" w:fill="auto"/>
            <w:vAlign w:val="center"/>
          </w:tcPr>
          <w:p w14:paraId="3630B584">
            <w:pPr>
              <w:pStyle w:val="6"/>
              <w:widowControl/>
              <w:spacing w:beforeAutospacing="0" w:afterAutospacing="0" w:line="324" w:lineRule="atLeast"/>
            </w:pPr>
            <w:r>
              <w:t>PID remapping (auto/manually optional)</w:t>
            </w:r>
          </w:p>
        </w:tc>
      </w:tr>
      <w:tr w14:paraId="4BB544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695" w:type="dxa"/>
            <w:vMerge w:val="continue"/>
            <w:shd w:val="clear" w:color="auto" w:fill="auto"/>
            <w:vAlign w:val="center"/>
          </w:tcPr>
          <w:p w14:paraId="6EC93CA7">
            <w:pPr>
              <w:jc w:val="left"/>
              <w:rPr>
                <w:rFonts w:ascii="宋体"/>
                <w:sz w:val="24"/>
                <w:szCs w:val="24"/>
              </w:rPr>
            </w:pPr>
          </w:p>
        </w:tc>
        <w:tc>
          <w:tcPr>
            <w:tcW w:w="2550" w:type="dxa"/>
            <w:vMerge w:val="continue"/>
            <w:shd w:val="clear" w:color="auto" w:fill="auto"/>
            <w:vAlign w:val="center"/>
          </w:tcPr>
          <w:p w14:paraId="76A8B07F">
            <w:pPr>
              <w:jc w:val="left"/>
              <w:rPr>
                <w:rFonts w:ascii="宋体"/>
                <w:sz w:val="24"/>
                <w:szCs w:val="24"/>
              </w:rPr>
            </w:pPr>
          </w:p>
        </w:tc>
        <w:tc>
          <w:tcPr>
            <w:tcW w:w="5535" w:type="dxa"/>
            <w:gridSpan w:val="3"/>
            <w:shd w:val="clear" w:color="auto" w:fill="auto"/>
            <w:vAlign w:val="center"/>
          </w:tcPr>
          <w:p w14:paraId="7918B598">
            <w:pPr>
              <w:pStyle w:val="6"/>
              <w:widowControl/>
              <w:spacing w:beforeAutospacing="0" w:afterAutospacing="0" w:line="324" w:lineRule="atLeast"/>
            </w:pPr>
            <w:r>
              <w:t>PCR accurate adjusting</w:t>
            </w:r>
          </w:p>
        </w:tc>
      </w:tr>
      <w:tr w14:paraId="72CA86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695" w:type="dxa"/>
            <w:vMerge w:val="continue"/>
            <w:shd w:val="clear" w:color="auto" w:fill="auto"/>
            <w:vAlign w:val="center"/>
          </w:tcPr>
          <w:p w14:paraId="5645019E">
            <w:pPr>
              <w:jc w:val="left"/>
              <w:rPr>
                <w:rFonts w:ascii="宋体"/>
                <w:sz w:val="24"/>
                <w:szCs w:val="24"/>
              </w:rPr>
            </w:pPr>
          </w:p>
        </w:tc>
        <w:tc>
          <w:tcPr>
            <w:tcW w:w="2550" w:type="dxa"/>
            <w:vMerge w:val="continue"/>
            <w:shd w:val="clear" w:color="auto" w:fill="auto"/>
            <w:vAlign w:val="center"/>
          </w:tcPr>
          <w:p w14:paraId="3B94A6DC">
            <w:pPr>
              <w:jc w:val="left"/>
              <w:rPr>
                <w:rFonts w:ascii="宋体"/>
                <w:sz w:val="24"/>
                <w:szCs w:val="24"/>
              </w:rPr>
            </w:pPr>
          </w:p>
        </w:tc>
        <w:tc>
          <w:tcPr>
            <w:tcW w:w="5535" w:type="dxa"/>
            <w:gridSpan w:val="3"/>
            <w:shd w:val="clear" w:color="auto" w:fill="auto"/>
            <w:vAlign w:val="center"/>
          </w:tcPr>
          <w:p w14:paraId="1920A881">
            <w:pPr>
              <w:pStyle w:val="6"/>
              <w:widowControl/>
              <w:spacing w:beforeAutospacing="0" w:afterAutospacing="0" w:line="324" w:lineRule="atLeast"/>
            </w:pPr>
            <w:r>
              <w:t>PSI/SI table automatically generating</w:t>
            </w:r>
          </w:p>
        </w:tc>
      </w:tr>
      <w:tr w14:paraId="5CCB01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95" w:type="dxa"/>
            <w:vMerge w:val="restart"/>
            <w:shd w:val="clear" w:color="auto" w:fill="auto"/>
            <w:vAlign w:val="center"/>
          </w:tcPr>
          <w:p w14:paraId="27D671C1">
            <w:pPr>
              <w:pStyle w:val="6"/>
              <w:widowControl/>
              <w:spacing w:beforeAutospacing="0" w:afterAutospacing="0" w:line="324" w:lineRule="atLeast"/>
            </w:pPr>
            <w:r>
              <w:rPr>
                <w:rStyle w:val="10"/>
              </w:rPr>
              <w:t>Scrambling</w:t>
            </w:r>
          </w:p>
        </w:tc>
        <w:tc>
          <w:tcPr>
            <w:tcW w:w="2565" w:type="dxa"/>
            <w:gridSpan w:val="2"/>
            <w:shd w:val="clear" w:color="auto" w:fill="auto"/>
            <w:vAlign w:val="center"/>
          </w:tcPr>
          <w:p w14:paraId="71E1D7A4">
            <w:pPr>
              <w:pStyle w:val="6"/>
              <w:widowControl/>
              <w:spacing w:beforeAutospacing="0" w:afterAutospacing="0" w:line="324" w:lineRule="atLeast"/>
              <w:ind w:left="34"/>
            </w:pPr>
            <w:r>
              <w:t>Max simulcrypt CA</w:t>
            </w:r>
          </w:p>
        </w:tc>
        <w:tc>
          <w:tcPr>
            <w:tcW w:w="5520" w:type="dxa"/>
            <w:gridSpan w:val="2"/>
            <w:shd w:val="clear" w:color="auto" w:fill="auto"/>
            <w:vAlign w:val="center"/>
          </w:tcPr>
          <w:p w14:paraId="475A99DD">
            <w:pPr>
              <w:pStyle w:val="6"/>
              <w:widowControl/>
              <w:spacing w:beforeAutospacing="0" w:afterAutospacing="0" w:line="324" w:lineRule="atLeast"/>
            </w:pPr>
            <w:r>
              <w:t>6</w:t>
            </w:r>
          </w:p>
        </w:tc>
      </w:tr>
      <w:tr w14:paraId="56B76E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03DEE7FF">
            <w:pPr>
              <w:jc w:val="left"/>
              <w:rPr>
                <w:rFonts w:ascii="宋体"/>
                <w:sz w:val="24"/>
                <w:szCs w:val="24"/>
              </w:rPr>
            </w:pPr>
          </w:p>
        </w:tc>
        <w:tc>
          <w:tcPr>
            <w:tcW w:w="2565" w:type="dxa"/>
            <w:gridSpan w:val="2"/>
            <w:shd w:val="clear" w:color="auto" w:fill="auto"/>
            <w:vAlign w:val="center"/>
          </w:tcPr>
          <w:p w14:paraId="719F66B4">
            <w:pPr>
              <w:pStyle w:val="6"/>
              <w:widowControl/>
              <w:spacing w:beforeAutospacing="0" w:afterAutospacing="0" w:line="324" w:lineRule="atLeast"/>
              <w:ind w:left="34"/>
            </w:pPr>
            <w:r>
              <w:t>Scramble Standard</w:t>
            </w:r>
          </w:p>
        </w:tc>
        <w:tc>
          <w:tcPr>
            <w:tcW w:w="5520" w:type="dxa"/>
            <w:gridSpan w:val="2"/>
            <w:shd w:val="clear" w:color="auto" w:fill="auto"/>
            <w:vAlign w:val="center"/>
          </w:tcPr>
          <w:p w14:paraId="3FD58448">
            <w:pPr>
              <w:pStyle w:val="6"/>
              <w:widowControl/>
              <w:spacing w:beforeAutospacing="0" w:afterAutospacing="0" w:line="324" w:lineRule="atLeast"/>
            </w:pPr>
            <w:r>
              <w:t>ETR289, ETSI 101 197, ETSI 103 197</w:t>
            </w:r>
          </w:p>
        </w:tc>
      </w:tr>
      <w:tr w14:paraId="2DDE49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1695" w:type="dxa"/>
            <w:vMerge w:val="continue"/>
            <w:shd w:val="clear" w:color="auto" w:fill="auto"/>
            <w:vAlign w:val="center"/>
          </w:tcPr>
          <w:p w14:paraId="434508B5">
            <w:pPr>
              <w:jc w:val="left"/>
              <w:rPr>
                <w:rFonts w:ascii="宋体"/>
                <w:sz w:val="24"/>
                <w:szCs w:val="24"/>
              </w:rPr>
            </w:pPr>
          </w:p>
        </w:tc>
        <w:tc>
          <w:tcPr>
            <w:tcW w:w="2565" w:type="dxa"/>
            <w:gridSpan w:val="2"/>
            <w:shd w:val="clear" w:color="auto" w:fill="auto"/>
            <w:vAlign w:val="center"/>
          </w:tcPr>
          <w:p w14:paraId="71E082FB">
            <w:pPr>
              <w:pStyle w:val="6"/>
              <w:widowControl/>
              <w:spacing w:beforeAutospacing="0" w:afterAutospacing="0" w:line="324" w:lineRule="atLeast"/>
              <w:ind w:left="34"/>
            </w:pPr>
            <w:r>
              <w:t>Connection</w:t>
            </w:r>
          </w:p>
        </w:tc>
        <w:tc>
          <w:tcPr>
            <w:tcW w:w="5520" w:type="dxa"/>
            <w:gridSpan w:val="2"/>
            <w:shd w:val="clear" w:color="auto" w:fill="auto"/>
            <w:vAlign w:val="center"/>
          </w:tcPr>
          <w:p w14:paraId="0640CB9B">
            <w:pPr>
              <w:pStyle w:val="6"/>
              <w:widowControl/>
              <w:spacing w:beforeAutospacing="0" w:afterAutospacing="0" w:line="324" w:lineRule="atLeast"/>
            </w:pPr>
            <w:r>
              <w:t>Local/remote connection</w:t>
            </w:r>
          </w:p>
        </w:tc>
      </w:tr>
      <w:tr w14:paraId="05A78D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1695" w:type="dxa"/>
            <w:vMerge w:val="restart"/>
            <w:shd w:val="clear" w:color="auto" w:fill="auto"/>
            <w:vAlign w:val="center"/>
          </w:tcPr>
          <w:p w14:paraId="101CD936">
            <w:pPr>
              <w:pStyle w:val="6"/>
              <w:widowControl/>
              <w:spacing w:beforeAutospacing="0" w:afterAutospacing="0" w:line="324" w:lineRule="atLeast"/>
            </w:pPr>
            <w:r>
              <w:rPr>
                <w:rStyle w:val="10"/>
              </w:rPr>
              <w:t>Modulation</w:t>
            </w:r>
          </w:p>
        </w:tc>
        <w:tc>
          <w:tcPr>
            <w:tcW w:w="2565" w:type="dxa"/>
            <w:gridSpan w:val="2"/>
            <w:shd w:val="clear" w:color="auto" w:fill="auto"/>
            <w:vAlign w:val="center"/>
          </w:tcPr>
          <w:p w14:paraId="00F7ECD9">
            <w:pPr>
              <w:pStyle w:val="6"/>
              <w:widowControl/>
              <w:spacing w:beforeAutospacing="0" w:afterAutospacing="0" w:line="324" w:lineRule="atLeast"/>
              <w:ind w:left="34"/>
            </w:pPr>
            <w:r>
              <w:t>Modulation Standard</w:t>
            </w:r>
          </w:p>
        </w:tc>
        <w:tc>
          <w:tcPr>
            <w:tcW w:w="5520" w:type="dxa"/>
            <w:gridSpan w:val="2"/>
            <w:shd w:val="clear" w:color="auto" w:fill="auto"/>
            <w:vAlign w:val="center"/>
          </w:tcPr>
          <w:p w14:paraId="3CFF325F">
            <w:pPr>
              <w:pStyle w:val="6"/>
              <w:widowControl/>
              <w:spacing w:beforeAutospacing="0" w:afterAutospacing="0" w:line="324" w:lineRule="atLeast"/>
            </w:pPr>
            <w:r>
              <w:t>EN300 429/ITU-T J.83A/B/C</w:t>
            </w:r>
          </w:p>
        </w:tc>
      </w:tr>
      <w:tr w14:paraId="1B027F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695" w:type="dxa"/>
            <w:vMerge w:val="continue"/>
            <w:shd w:val="clear" w:color="auto" w:fill="auto"/>
            <w:vAlign w:val="center"/>
          </w:tcPr>
          <w:p w14:paraId="446F7A46">
            <w:pPr>
              <w:jc w:val="left"/>
              <w:rPr>
                <w:rFonts w:ascii="宋体"/>
                <w:sz w:val="24"/>
                <w:szCs w:val="24"/>
              </w:rPr>
            </w:pPr>
          </w:p>
        </w:tc>
        <w:tc>
          <w:tcPr>
            <w:tcW w:w="2565" w:type="dxa"/>
            <w:gridSpan w:val="2"/>
            <w:vMerge w:val="restart"/>
            <w:shd w:val="clear" w:color="auto" w:fill="auto"/>
            <w:vAlign w:val="center"/>
          </w:tcPr>
          <w:p w14:paraId="3076902D">
            <w:pPr>
              <w:pStyle w:val="6"/>
              <w:widowControl/>
              <w:spacing w:beforeAutospacing="0" w:afterAutospacing="0" w:line="324" w:lineRule="atLeast"/>
              <w:ind w:left="34"/>
            </w:pPr>
            <w:r>
              <w:t>Constellation</w:t>
            </w:r>
          </w:p>
        </w:tc>
        <w:tc>
          <w:tcPr>
            <w:tcW w:w="1125" w:type="dxa"/>
            <w:vMerge w:val="restart"/>
            <w:shd w:val="clear" w:color="auto" w:fill="auto"/>
            <w:vAlign w:val="center"/>
          </w:tcPr>
          <w:p w14:paraId="684C47F0">
            <w:pPr>
              <w:pStyle w:val="6"/>
              <w:widowControl/>
              <w:spacing w:beforeAutospacing="0" w:afterAutospacing="0" w:line="324" w:lineRule="atLeast"/>
              <w:ind w:left="105"/>
            </w:pPr>
            <w:r>
              <w:t>J.83A</w:t>
            </w:r>
          </w:p>
        </w:tc>
        <w:tc>
          <w:tcPr>
            <w:tcW w:w="4395" w:type="dxa"/>
            <w:shd w:val="clear" w:color="auto" w:fill="auto"/>
            <w:vAlign w:val="center"/>
          </w:tcPr>
          <w:p w14:paraId="2EEFF9D4">
            <w:pPr>
              <w:pStyle w:val="6"/>
              <w:widowControl/>
              <w:spacing w:beforeAutospacing="0" w:afterAutospacing="0" w:line="324" w:lineRule="atLeast"/>
            </w:pPr>
            <w:r>
              <w:t>Constellation :16/32/64/128/256QAM</w:t>
            </w:r>
          </w:p>
        </w:tc>
      </w:tr>
      <w:tr w14:paraId="0E734A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695" w:type="dxa"/>
            <w:vMerge w:val="continue"/>
            <w:shd w:val="clear" w:color="auto" w:fill="auto"/>
            <w:vAlign w:val="center"/>
          </w:tcPr>
          <w:p w14:paraId="24159744">
            <w:pPr>
              <w:jc w:val="left"/>
              <w:rPr>
                <w:rFonts w:ascii="宋体"/>
                <w:sz w:val="24"/>
                <w:szCs w:val="24"/>
              </w:rPr>
            </w:pPr>
          </w:p>
        </w:tc>
        <w:tc>
          <w:tcPr>
            <w:tcW w:w="2565" w:type="dxa"/>
            <w:gridSpan w:val="2"/>
            <w:vMerge w:val="continue"/>
            <w:shd w:val="clear" w:color="auto" w:fill="auto"/>
            <w:vAlign w:val="center"/>
          </w:tcPr>
          <w:p w14:paraId="776D0BC8">
            <w:pPr>
              <w:jc w:val="left"/>
              <w:rPr>
                <w:rFonts w:ascii="宋体"/>
                <w:sz w:val="24"/>
                <w:szCs w:val="24"/>
              </w:rPr>
            </w:pPr>
          </w:p>
        </w:tc>
        <w:tc>
          <w:tcPr>
            <w:tcW w:w="1125" w:type="dxa"/>
            <w:vMerge w:val="continue"/>
            <w:shd w:val="clear" w:color="auto" w:fill="auto"/>
            <w:vAlign w:val="center"/>
          </w:tcPr>
          <w:p w14:paraId="6CBA3C8C">
            <w:pPr>
              <w:jc w:val="left"/>
              <w:rPr>
                <w:rFonts w:ascii="宋体"/>
                <w:sz w:val="24"/>
                <w:szCs w:val="24"/>
              </w:rPr>
            </w:pPr>
          </w:p>
        </w:tc>
        <w:tc>
          <w:tcPr>
            <w:tcW w:w="4395" w:type="dxa"/>
            <w:shd w:val="clear" w:color="auto" w:fill="auto"/>
            <w:vAlign w:val="center"/>
          </w:tcPr>
          <w:p w14:paraId="7000BE4B">
            <w:pPr>
              <w:pStyle w:val="6"/>
              <w:widowControl/>
              <w:spacing w:beforeAutospacing="0" w:afterAutospacing="0" w:line="324" w:lineRule="atLeast"/>
            </w:pPr>
            <w:r>
              <w:t>Bandwidth :8M</w:t>
            </w:r>
          </w:p>
        </w:tc>
      </w:tr>
      <w:tr w14:paraId="42B555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695" w:type="dxa"/>
            <w:vMerge w:val="continue"/>
            <w:shd w:val="clear" w:color="auto" w:fill="auto"/>
            <w:vAlign w:val="center"/>
          </w:tcPr>
          <w:p w14:paraId="726B4CC2">
            <w:pPr>
              <w:jc w:val="left"/>
              <w:rPr>
                <w:rFonts w:ascii="宋体"/>
                <w:sz w:val="24"/>
                <w:szCs w:val="24"/>
              </w:rPr>
            </w:pPr>
          </w:p>
        </w:tc>
        <w:tc>
          <w:tcPr>
            <w:tcW w:w="2565" w:type="dxa"/>
            <w:gridSpan w:val="2"/>
            <w:vMerge w:val="continue"/>
            <w:shd w:val="clear" w:color="auto" w:fill="auto"/>
            <w:vAlign w:val="center"/>
          </w:tcPr>
          <w:p w14:paraId="2A9C3AD2">
            <w:pPr>
              <w:jc w:val="left"/>
              <w:rPr>
                <w:rFonts w:ascii="宋体"/>
                <w:sz w:val="24"/>
                <w:szCs w:val="24"/>
              </w:rPr>
            </w:pPr>
          </w:p>
        </w:tc>
        <w:tc>
          <w:tcPr>
            <w:tcW w:w="1125" w:type="dxa"/>
            <w:vMerge w:val="restart"/>
            <w:shd w:val="clear" w:color="auto" w:fill="auto"/>
            <w:vAlign w:val="center"/>
          </w:tcPr>
          <w:p w14:paraId="64078AB2">
            <w:pPr>
              <w:pStyle w:val="6"/>
              <w:widowControl/>
              <w:spacing w:beforeAutospacing="0" w:afterAutospacing="0" w:line="324" w:lineRule="atLeast"/>
              <w:ind w:left="105"/>
            </w:pPr>
            <w:r>
              <w:t>J.83B/C</w:t>
            </w:r>
          </w:p>
        </w:tc>
        <w:tc>
          <w:tcPr>
            <w:tcW w:w="4395" w:type="dxa"/>
            <w:shd w:val="clear" w:color="auto" w:fill="auto"/>
            <w:vAlign w:val="center"/>
          </w:tcPr>
          <w:p w14:paraId="6A7F62AB">
            <w:pPr>
              <w:pStyle w:val="6"/>
              <w:widowControl/>
              <w:spacing w:beforeAutospacing="0" w:afterAutospacing="0" w:line="324" w:lineRule="atLeast"/>
            </w:pPr>
            <w:r>
              <w:t>Constellation :64/256QAM</w:t>
            </w:r>
          </w:p>
        </w:tc>
      </w:tr>
      <w:tr w14:paraId="080610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695" w:type="dxa"/>
            <w:vMerge w:val="continue"/>
            <w:shd w:val="clear" w:color="auto" w:fill="auto"/>
            <w:vAlign w:val="center"/>
          </w:tcPr>
          <w:p w14:paraId="0E05AD92">
            <w:pPr>
              <w:jc w:val="left"/>
              <w:rPr>
                <w:rFonts w:ascii="宋体"/>
                <w:sz w:val="24"/>
                <w:szCs w:val="24"/>
              </w:rPr>
            </w:pPr>
          </w:p>
        </w:tc>
        <w:tc>
          <w:tcPr>
            <w:tcW w:w="2565" w:type="dxa"/>
            <w:gridSpan w:val="2"/>
            <w:vMerge w:val="continue"/>
            <w:shd w:val="clear" w:color="auto" w:fill="auto"/>
            <w:vAlign w:val="center"/>
          </w:tcPr>
          <w:p w14:paraId="4EA9DDD0">
            <w:pPr>
              <w:jc w:val="left"/>
              <w:rPr>
                <w:rFonts w:ascii="宋体"/>
                <w:sz w:val="24"/>
                <w:szCs w:val="24"/>
              </w:rPr>
            </w:pPr>
          </w:p>
        </w:tc>
        <w:tc>
          <w:tcPr>
            <w:tcW w:w="1125" w:type="dxa"/>
            <w:vMerge w:val="continue"/>
            <w:shd w:val="clear" w:color="auto" w:fill="auto"/>
            <w:vAlign w:val="center"/>
          </w:tcPr>
          <w:p w14:paraId="637C76D3">
            <w:pPr>
              <w:jc w:val="left"/>
              <w:rPr>
                <w:rFonts w:ascii="宋体"/>
                <w:sz w:val="24"/>
                <w:szCs w:val="24"/>
              </w:rPr>
            </w:pPr>
          </w:p>
        </w:tc>
        <w:tc>
          <w:tcPr>
            <w:tcW w:w="4395" w:type="dxa"/>
            <w:shd w:val="clear" w:color="auto" w:fill="auto"/>
            <w:vAlign w:val="center"/>
          </w:tcPr>
          <w:p w14:paraId="68F073F9">
            <w:pPr>
              <w:pStyle w:val="6"/>
              <w:widowControl/>
              <w:spacing w:beforeAutospacing="0" w:afterAutospacing="0" w:line="324" w:lineRule="atLeast"/>
            </w:pPr>
            <w:r>
              <w:t>Bandwidth :6M</w:t>
            </w:r>
          </w:p>
        </w:tc>
      </w:tr>
      <w:tr w14:paraId="4D9059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695" w:type="dxa"/>
            <w:vMerge w:val="continue"/>
            <w:shd w:val="clear" w:color="auto" w:fill="auto"/>
            <w:vAlign w:val="center"/>
          </w:tcPr>
          <w:p w14:paraId="087FC613">
            <w:pPr>
              <w:jc w:val="left"/>
              <w:rPr>
                <w:rFonts w:ascii="宋体"/>
                <w:sz w:val="24"/>
                <w:szCs w:val="24"/>
              </w:rPr>
            </w:pPr>
          </w:p>
        </w:tc>
        <w:tc>
          <w:tcPr>
            <w:tcW w:w="2565" w:type="dxa"/>
            <w:gridSpan w:val="2"/>
            <w:shd w:val="clear" w:color="auto" w:fill="auto"/>
            <w:vAlign w:val="center"/>
          </w:tcPr>
          <w:p w14:paraId="692B383D">
            <w:pPr>
              <w:pStyle w:val="6"/>
              <w:widowControl/>
              <w:spacing w:beforeAutospacing="0" w:afterAutospacing="0" w:line="324" w:lineRule="atLeast"/>
              <w:ind w:left="34"/>
            </w:pPr>
            <w:r>
              <w:t>QAM Channel</w:t>
            </w:r>
          </w:p>
        </w:tc>
        <w:tc>
          <w:tcPr>
            <w:tcW w:w="5520" w:type="dxa"/>
            <w:gridSpan w:val="2"/>
            <w:shd w:val="clear" w:color="auto" w:fill="auto"/>
            <w:vAlign w:val="center"/>
          </w:tcPr>
          <w:p w14:paraId="6B1A5465">
            <w:pPr>
              <w:pStyle w:val="6"/>
              <w:widowControl/>
              <w:spacing w:beforeAutospacing="0" w:afterAutospacing="0" w:line="324" w:lineRule="atLeast"/>
              <w:ind w:left="105"/>
            </w:pPr>
            <w:r>
              <w:t>32/48/64/80/96/112 non-adjacent carriers output,</w:t>
            </w:r>
          </w:p>
          <w:p w14:paraId="642A7FB0">
            <w:pPr>
              <w:pStyle w:val="6"/>
              <w:widowControl/>
              <w:spacing w:beforeAutospacing="0" w:afterAutospacing="0" w:line="324" w:lineRule="atLeast"/>
              <w:ind w:left="105"/>
            </w:pPr>
            <w:r>
              <w:t>192 or 384Mbps bandwidth for each RF port</w:t>
            </w:r>
          </w:p>
        </w:tc>
      </w:tr>
      <w:tr w14:paraId="4EB596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85" w:hRule="atLeast"/>
          <w:tblCellSpacing w:w="0" w:type="dxa"/>
        </w:trPr>
        <w:tc>
          <w:tcPr>
            <w:tcW w:w="1695" w:type="dxa"/>
            <w:vMerge w:val="continue"/>
            <w:shd w:val="clear" w:color="auto" w:fill="auto"/>
            <w:vAlign w:val="center"/>
          </w:tcPr>
          <w:p w14:paraId="3369DD3A">
            <w:pPr>
              <w:jc w:val="left"/>
              <w:rPr>
                <w:rFonts w:ascii="宋体"/>
                <w:sz w:val="24"/>
                <w:szCs w:val="24"/>
              </w:rPr>
            </w:pPr>
          </w:p>
        </w:tc>
        <w:tc>
          <w:tcPr>
            <w:tcW w:w="2565" w:type="dxa"/>
            <w:gridSpan w:val="2"/>
            <w:shd w:val="clear" w:color="auto" w:fill="auto"/>
            <w:vAlign w:val="center"/>
          </w:tcPr>
          <w:p w14:paraId="6C16C64F">
            <w:pPr>
              <w:pStyle w:val="6"/>
              <w:widowControl/>
              <w:spacing w:beforeAutospacing="0" w:afterAutospacing="0" w:line="324" w:lineRule="atLeast"/>
              <w:ind w:left="34"/>
            </w:pPr>
            <w:r>
              <w:t>Symbol Rate</w:t>
            </w:r>
          </w:p>
        </w:tc>
        <w:tc>
          <w:tcPr>
            <w:tcW w:w="5520" w:type="dxa"/>
            <w:gridSpan w:val="2"/>
            <w:shd w:val="clear" w:color="auto" w:fill="auto"/>
            <w:vAlign w:val="center"/>
          </w:tcPr>
          <w:p w14:paraId="2ACE4C3F">
            <w:pPr>
              <w:pStyle w:val="6"/>
              <w:widowControl/>
              <w:spacing w:beforeAutospacing="0" w:afterAutospacing="0" w:line="324" w:lineRule="atLeast"/>
              <w:ind w:left="105"/>
            </w:pPr>
            <w:r>
              <w:t>3600~7000Ksps, 1ksps stepping</w:t>
            </w:r>
          </w:p>
          <w:p w14:paraId="2B582D07">
            <w:pPr>
              <w:pStyle w:val="6"/>
              <w:widowControl/>
              <w:spacing w:beforeAutospacing="0" w:afterAutospacing="0" w:line="324" w:lineRule="atLeast"/>
              <w:ind w:left="105"/>
            </w:pPr>
            <w:r>
              <w:t>5057Ksps (J.83B, 64QAM) ; 5361Ksps (J.83B, 256QAM)</w:t>
            </w:r>
          </w:p>
        </w:tc>
      </w:tr>
      <w:tr w14:paraId="4774D0C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4CDFB492">
            <w:pPr>
              <w:jc w:val="left"/>
              <w:rPr>
                <w:rFonts w:ascii="宋体"/>
                <w:sz w:val="24"/>
                <w:szCs w:val="24"/>
              </w:rPr>
            </w:pPr>
          </w:p>
        </w:tc>
        <w:tc>
          <w:tcPr>
            <w:tcW w:w="2565" w:type="dxa"/>
            <w:gridSpan w:val="2"/>
            <w:shd w:val="clear" w:color="auto" w:fill="auto"/>
            <w:vAlign w:val="center"/>
          </w:tcPr>
          <w:p w14:paraId="0E96863A">
            <w:pPr>
              <w:pStyle w:val="6"/>
              <w:widowControl/>
              <w:spacing w:beforeAutospacing="0" w:afterAutospacing="0" w:line="324" w:lineRule="atLeast"/>
              <w:ind w:left="34"/>
            </w:pPr>
            <w:r>
              <w:t>Constellation</w:t>
            </w:r>
          </w:p>
        </w:tc>
        <w:tc>
          <w:tcPr>
            <w:tcW w:w="5520" w:type="dxa"/>
            <w:gridSpan w:val="2"/>
            <w:shd w:val="clear" w:color="auto" w:fill="auto"/>
            <w:vAlign w:val="center"/>
          </w:tcPr>
          <w:p w14:paraId="0E58B978">
            <w:pPr>
              <w:pStyle w:val="6"/>
              <w:widowControl/>
              <w:spacing w:beforeAutospacing="0" w:afterAutospacing="0" w:line="324" w:lineRule="atLeast"/>
              <w:ind w:left="105"/>
            </w:pPr>
            <w:r>
              <w:t>16, 32, 64, 128, 256QAM</w:t>
            </w:r>
          </w:p>
        </w:tc>
      </w:tr>
      <w:tr w14:paraId="3DC43B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22667C90">
            <w:pPr>
              <w:jc w:val="left"/>
              <w:rPr>
                <w:rFonts w:ascii="宋体"/>
                <w:sz w:val="24"/>
                <w:szCs w:val="24"/>
              </w:rPr>
            </w:pPr>
          </w:p>
        </w:tc>
        <w:tc>
          <w:tcPr>
            <w:tcW w:w="2565" w:type="dxa"/>
            <w:gridSpan w:val="2"/>
            <w:shd w:val="clear" w:color="auto" w:fill="auto"/>
            <w:vAlign w:val="center"/>
          </w:tcPr>
          <w:p w14:paraId="5AE6436E">
            <w:pPr>
              <w:pStyle w:val="6"/>
              <w:widowControl/>
              <w:spacing w:beforeAutospacing="0" w:afterAutospacing="0" w:line="324" w:lineRule="atLeast"/>
              <w:ind w:left="34"/>
            </w:pPr>
            <w:r>
              <w:t>FEC</w:t>
            </w:r>
          </w:p>
        </w:tc>
        <w:tc>
          <w:tcPr>
            <w:tcW w:w="5520" w:type="dxa"/>
            <w:gridSpan w:val="2"/>
            <w:shd w:val="clear" w:color="auto" w:fill="auto"/>
            <w:vAlign w:val="center"/>
          </w:tcPr>
          <w:p w14:paraId="3A875BA3">
            <w:pPr>
              <w:pStyle w:val="6"/>
              <w:widowControl/>
              <w:spacing w:beforeAutospacing="0" w:afterAutospacing="0" w:line="324" w:lineRule="atLeast"/>
              <w:ind w:left="105"/>
            </w:pPr>
            <w:r>
              <w:t>RS (204, 188)</w:t>
            </w:r>
          </w:p>
        </w:tc>
      </w:tr>
      <w:tr w14:paraId="5E6F76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695" w:type="dxa"/>
            <w:vMerge w:val="restart"/>
            <w:shd w:val="clear" w:color="auto" w:fill="auto"/>
            <w:vAlign w:val="center"/>
          </w:tcPr>
          <w:p w14:paraId="1FB1E89F">
            <w:pPr>
              <w:pStyle w:val="6"/>
              <w:widowControl/>
              <w:spacing w:beforeAutospacing="0" w:afterAutospacing="0" w:line="324" w:lineRule="atLeast"/>
            </w:pPr>
            <w:r>
              <w:rPr>
                <w:rStyle w:val="10"/>
              </w:rPr>
              <w:t>RF Output</w:t>
            </w:r>
          </w:p>
        </w:tc>
        <w:tc>
          <w:tcPr>
            <w:tcW w:w="2550" w:type="dxa"/>
            <w:shd w:val="clear" w:color="auto" w:fill="auto"/>
            <w:vAlign w:val="center"/>
          </w:tcPr>
          <w:p w14:paraId="4EDA07AA">
            <w:pPr>
              <w:pStyle w:val="6"/>
              <w:widowControl/>
              <w:spacing w:beforeAutospacing="0" w:afterAutospacing="0" w:line="324" w:lineRule="atLeast"/>
              <w:ind w:left="34"/>
            </w:pPr>
            <w:r>
              <w:t>Interface (per card)</w:t>
            </w:r>
          </w:p>
        </w:tc>
        <w:tc>
          <w:tcPr>
            <w:tcW w:w="5535" w:type="dxa"/>
            <w:gridSpan w:val="3"/>
            <w:shd w:val="clear" w:color="auto" w:fill="auto"/>
            <w:vAlign w:val="center"/>
          </w:tcPr>
          <w:p w14:paraId="74EE5F40">
            <w:pPr>
              <w:pStyle w:val="6"/>
              <w:widowControl/>
              <w:spacing w:beforeAutospacing="0" w:afterAutospacing="0" w:line="324" w:lineRule="atLeast"/>
              <w:ind w:left="105"/>
            </w:pPr>
            <w:r>
              <w:t>1 or 2 F type output ports for 16/32/48/64 carriers card, 75Ω.</w:t>
            </w:r>
          </w:p>
          <w:p w14:paraId="6945AF46">
            <w:pPr>
              <w:pStyle w:val="6"/>
              <w:widowControl/>
              <w:spacing w:beforeAutospacing="0" w:afterAutospacing="0" w:line="324" w:lineRule="atLeast"/>
              <w:ind w:left="105"/>
            </w:pPr>
            <w:r>
              <w:t>16 or 32 ch qam card : all Carrier out thru one RF port</w:t>
            </w:r>
          </w:p>
          <w:p w14:paraId="7A510AFA">
            <w:pPr>
              <w:pStyle w:val="6"/>
              <w:widowControl/>
              <w:spacing w:beforeAutospacing="0" w:afterAutospacing="0" w:line="324" w:lineRule="atLeast"/>
              <w:ind w:left="105"/>
            </w:pPr>
            <w:r>
              <w:t>48ch qam card : Carrier 1~24 out thru RF1, 25~48 thru RF2</w:t>
            </w:r>
          </w:p>
          <w:p w14:paraId="18C0DD30">
            <w:pPr>
              <w:pStyle w:val="6"/>
              <w:widowControl/>
              <w:spacing w:beforeAutospacing="0" w:afterAutospacing="0" w:line="324" w:lineRule="atLeast"/>
              <w:ind w:left="105"/>
            </w:pPr>
            <w:r>
              <w:t>64ch qam card : Carrier 1~32 out thru RF1, 33~64 thru RF2</w:t>
            </w:r>
          </w:p>
        </w:tc>
      </w:tr>
      <w:tr w14:paraId="32D4BA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695" w:type="dxa"/>
            <w:vMerge w:val="continue"/>
            <w:shd w:val="clear" w:color="auto" w:fill="auto"/>
            <w:vAlign w:val="center"/>
          </w:tcPr>
          <w:p w14:paraId="307FB2AE">
            <w:pPr>
              <w:jc w:val="left"/>
              <w:rPr>
                <w:rFonts w:ascii="宋体"/>
                <w:sz w:val="24"/>
                <w:szCs w:val="24"/>
              </w:rPr>
            </w:pPr>
          </w:p>
        </w:tc>
        <w:tc>
          <w:tcPr>
            <w:tcW w:w="2550" w:type="dxa"/>
            <w:shd w:val="clear" w:color="auto" w:fill="auto"/>
            <w:vAlign w:val="center"/>
          </w:tcPr>
          <w:p w14:paraId="689EEA30">
            <w:pPr>
              <w:pStyle w:val="6"/>
              <w:widowControl/>
              <w:spacing w:beforeAutospacing="0" w:afterAutospacing="0" w:line="324" w:lineRule="atLeast"/>
              <w:ind w:left="34"/>
            </w:pPr>
            <w:r>
              <w:t>RF Range</w:t>
            </w:r>
          </w:p>
        </w:tc>
        <w:tc>
          <w:tcPr>
            <w:tcW w:w="5535" w:type="dxa"/>
            <w:gridSpan w:val="3"/>
            <w:shd w:val="clear" w:color="auto" w:fill="auto"/>
            <w:vAlign w:val="center"/>
          </w:tcPr>
          <w:p w14:paraId="636F3BD5">
            <w:pPr>
              <w:pStyle w:val="6"/>
              <w:widowControl/>
              <w:spacing w:beforeAutospacing="0" w:afterAutospacing="0" w:line="324" w:lineRule="atLeast"/>
              <w:ind w:left="105"/>
            </w:pPr>
            <w:r>
              <w:t>50~960MHz, 1kHz stepping</w:t>
            </w:r>
          </w:p>
        </w:tc>
      </w:tr>
      <w:tr w14:paraId="40C4B3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695" w:type="dxa"/>
            <w:vMerge w:val="continue"/>
            <w:shd w:val="clear" w:color="auto" w:fill="auto"/>
            <w:vAlign w:val="center"/>
          </w:tcPr>
          <w:p w14:paraId="224880B6">
            <w:pPr>
              <w:jc w:val="left"/>
              <w:rPr>
                <w:rFonts w:ascii="宋体"/>
                <w:sz w:val="24"/>
                <w:szCs w:val="24"/>
              </w:rPr>
            </w:pPr>
          </w:p>
        </w:tc>
        <w:tc>
          <w:tcPr>
            <w:tcW w:w="2550" w:type="dxa"/>
            <w:shd w:val="clear" w:color="auto" w:fill="auto"/>
            <w:vAlign w:val="center"/>
          </w:tcPr>
          <w:p w14:paraId="49A5DDD3">
            <w:pPr>
              <w:pStyle w:val="6"/>
              <w:widowControl/>
              <w:spacing w:beforeAutospacing="0" w:afterAutospacing="0" w:line="324" w:lineRule="atLeast"/>
              <w:ind w:left="34"/>
            </w:pPr>
            <w:r>
              <w:t>Output Level</w:t>
            </w:r>
          </w:p>
        </w:tc>
        <w:tc>
          <w:tcPr>
            <w:tcW w:w="5535" w:type="dxa"/>
            <w:gridSpan w:val="3"/>
            <w:shd w:val="clear" w:color="auto" w:fill="auto"/>
            <w:vAlign w:val="center"/>
          </w:tcPr>
          <w:p w14:paraId="6D42E900">
            <w:pPr>
              <w:pStyle w:val="6"/>
              <w:widowControl/>
              <w:spacing w:beforeAutospacing="0" w:afterAutospacing="0" w:line="324" w:lineRule="atLeast"/>
              <w:ind w:left="105"/>
            </w:pPr>
            <w:r>
              <w:t>-20dBm~+10dBm(87~117dbµV), 0.1dB stepping</w:t>
            </w:r>
          </w:p>
        </w:tc>
      </w:tr>
      <w:tr w14:paraId="05E16A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695" w:type="dxa"/>
            <w:vMerge w:val="continue"/>
            <w:shd w:val="clear" w:color="auto" w:fill="auto"/>
            <w:vAlign w:val="center"/>
          </w:tcPr>
          <w:p w14:paraId="35FECB6F">
            <w:pPr>
              <w:jc w:val="left"/>
              <w:rPr>
                <w:rFonts w:ascii="宋体"/>
                <w:sz w:val="24"/>
                <w:szCs w:val="24"/>
              </w:rPr>
            </w:pPr>
          </w:p>
        </w:tc>
        <w:tc>
          <w:tcPr>
            <w:tcW w:w="2550" w:type="dxa"/>
            <w:shd w:val="clear" w:color="auto" w:fill="auto"/>
            <w:vAlign w:val="center"/>
          </w:tcPr>
          <w:p w14:paraId="2D7FE5D7">
            <w:pPr>
              <w:pStyle w:val="6"/>
              <w:widowControl/>
              <w:spacing w:beforeAutospacing="0" w:afterAutospacing="0" w:line="324" w:lineRule="atLeast"/>
              <w:ind w:left="34"/>
            </w:pPr>
            <w:r>
              <w:t>MER</w:t>
            </w:r>
          </w:p>
        </w:tc>
        <w:tc>
          <w:tcPr>
            <w:tcW w:w="5535" w:type="dxa"/>
            <w:gridSpan w:val="3"/>
            <w:shd w:val="clear" w:color="auto" w:fill="auto"/>
            <w:vAlign w:val="center"/>
          </w:tcPr>
          <w:p w14:paraId="0D8F6711">
            <w:pPr>
              <w:pStyle w:val="6"/>
              <w:widowControl/>
              <w:spacing w:beforeAutospacing="0" w:afterAutospacing="0" w:line="324" w:lineRule="atLeast"/>
              <w:ind w:left="105"/>
            </w:pPr>
            <w:r>
              <w:t>≥ 40dB</w:t>
            </w:r>
          </w:p>
        </w:tc>
      </w:tr>
      <w:tr w14:paraId="7773239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95" w:hRule="atLeast"/>
          <w:tblCellSpacing w:w="0" w:type="dxa"/>
        </w:trPr>
        <w:tc>
          <w:tcPr>
            <w:tcW w:w="1695" w:type="dxa"/>
            <w:shd w:val="clear" w:color="auto" w:fill="auto"/>
            <w:vAlign w:val="center"/>
          </w:tcPr>
          <w:p w14:paraId="4341460D">
            <w:pPr>
              <w:pStyle w:val="6"/>
              <w:widowControl/>
              <w:spacing w:beforeAutospacing="0" w:afterAutospacing="0" w:line="324" w:lineRule="atLeast"/>
            </w:pPr>
            <w:r>
              <w:rPr>
                <w:rStyle w:val="10"/>
              </w:rPr>
              <w:t>TS output</w:t>
            </w:r>
          </w:p>
        </w:tc>
        <w:tc>
          <w:tcPr>
            <w:tcW w:w="2550" w:type="dxa"/>
            <w:shd w:val="clear" w:color="auto" w:fill="auto"/>
            <w:vAlign w:val="center"/>
          </w:tcPr>
          <w:p w14:paraId="3E5372CA">
            <w:pPr>
              <w:pStyle w:val="6"/>
              <w:widowControl/>
              <w:spacing w:beforeAutospacing="0" w:afterAutospacing="0" w:line="324" w:lineRule="atLeast"/>
              <w:ind w:left="34"/>
            </w:pPr>
            <w:r>
              <w:t>Per Daughter QAM Card</w:t>
            </w:r>
          </w:p>
        </w:tc>
        <w:tc>
          <w:tcPr>
            <w:tcW w:w="5535" w:type="dxa"/>
            <w:gridSpan w:val="3"/>
            <w:shd w:val="clear" w:color="auto" w:fill="auto"/>
            <w:vAlign w:val="center"/>
          </w:tcPr>
          <w:p w14:paraId="00E2F209">
            <w:pPr>
              <w:pStyle w:val="6"/>
              <w:widowControl/>
              <w:spacing w:beforeAutospacing="0" w:afterAutospacing="0" w:line="324" w:lineRule="atLeast"/>
              <w:ind w:left="34"/>
            </w:pPr>
            <w:r>
              <w:t>16/32/48/64 IP output over UDP/RTP/RTSP, unicast/multicast,</w:t>
            </w:r>
          </w:p>
          <w:p w14:paraId="7029ECD6">
            <w:pPr>
              <w:pStyle w:val="6"/>
              <w:widowControl/>
              <w:spacing w:beforeAutospacing="0" w:afterAutospacing="0" w:line="324" w:lineRule="atLeast"/>
              <w:ind w:left="34"/>
            </w:pPr>
            <w:r>
              <w:t>through SFP+/SFP ports 1-3 or GE port RJ45</w:t>
            </w:r>
          </w:p>
        </w:tc>
      </w:tr>
      <w:tr w14:paraId="5059A8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695" w:type="dxa"/>
            <w:shd w:val="clear" w:color="auto" w:fill="auto"/>
            <w:vAlign w:val="center"/>
          </w:tcPr>
          <w:p w14:paraId="72B394B1">
            <w:pPr>
              <w:pStyle w:val="6"/>
              <w:widowControl/>
              <w:spacing w:beforeAutospacing="0" w:afterAutospacing="0" w:line="324" w:lineRule="atLeast"/>
            </w:pPr>
            <w:r>
              <w:rPr>
                <w:rStyle w:val="10"/>
              </w:rPr>
              <w:t>System</w:t>
            </w:r>
          </w:p>
        </w:tc>
        <w:tc>
          <w:tcPr>
            <w:tcW w:w="8085" w:type="dxa"/>
            <w:gridSpan w:val="4"/>
            <w:shd w:val="clear" w:color="auto" w:fill="auto"/>
            <w:vAlign w:val="center"/>
          </w:tcPr>
          <w:p w14:paraId="18141C0E">
            <w:pPr>
              <w:pStyle w:val="6"/>
              <w:widowControl/>
              <w:spacing w:beforeAutospacing="0" w:afterAutospacing="0" w:line="324" w:lineRule="atLeast"/>
              <w:ind w:left="34"/>
            </w:pPr>
            <w:r>
              <w:t>Web-based Network management</w:t>
            </w:r>
          </w:p>
        </w:tc>
      </w:tr>
      <w:tr w14:paraId="1F2BA0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695" w:type="dxa"/>
            <w:vMerge w:val="restart"/>
            <w:shd w:val="clear" w:color="auto" w:fill="auto"/>
            <w:vAlign w:val="center"/>
          </w:tcPr>
          <w:p w14:paraId="7659B51B">
            <w:pPr>
              <w:pStyle w:val="6"/>
              <w:widowControl/>
              <w:spacing w:beforeAutospacing="0" w:afterAutospacing="0" w:line="324" w:lineRule="atLeast"/>
            </w:pPr>
            <w:r>
              <w:rPr>
                <w:rStyle w:val="10"/>
              </w:rPr>
              <w:t>General</w:t>
            </w:r>
          </w:p>
        </w:tc>
        <w:tc>
          <w:tcPr>
            <w:tcW w:w="2550" w:type="dxa"/>
            <w:shd w:val="clear" w:color="auto" w:fill="auto"/>
            <w:vAlign w:val="center"/>
          </w:tcPr>
          <w:p w14:paraId="74700A2A">
            <w:pPr>
              <w:pStyle w:val="6"/>
              <w:widowControl/>
              <w:spacing w:beforeAutospacing="0" w:afterAutospacing="0" w:line="324" w:lineRule="atLeast"/>
              <w:ind w:left="34"/>
            </w:pPr>
            <w:r>
              <w:t>Dimension</w:t>
            </w:r>
          </w:p>
        </w:tc>
        <w:tc>
          <w:tcPr>
            <w:tcW w:w="5535" w:type="dxa"/>
            <w:gridSpan w:val="3"/>
            <w:shd w:val="clear" w:color="auto" w:fill="auto"/>
            <w:vAlign w:val="center"/>
          </w:tcPr>
          <w:p w14:paraId="5EE3C9FC">
            <w:pPr>
              <w:pStyle w:val="6"/>
              <w:widowControl/>
              <w:spacing w:beforeAutospacing="0" w:afterAutospacing="0" w:line="324" w:lineRule="atLeast"/>
              <w:ind w:left="34"/>
            </w:pPr>
            <w:r>
              <w:t>420mm×440mm×44.5mm (WxLxH)</w:t>
            </w:r>
          </w:p>
        </w:tc>
      </w:tr>
      <w:tr w14:paraId="2E63AA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695" w:type="dxa"/>
            <w:vMerge w:val="continue"/>
            <w:shd w:val="clear" w:color="auto" w:fill="auto"/>
            <w:vAlign w:val="center"/>
          </w:tcPr>
          <w:p w14:paraId="2B0A119F">
            <w:pPr>
              <w:jc w:val="left"/>
              <w:rPr>
                <w:rFonts w:ascii="宋体"/>
                <w:sz w:val="24"/>
                <w:szCs w:val="24"/>
              </w:rPr>
            </w:pPr>
          </w:p>
        </w:tc>
        <w:tc>
          <w:tcPr>
            <w:tcW w:w="2550" w:type="dxa"/>
            <w:shd w:val="clear" w:color="auto" w:fill="auto"/>
            <w:vAlign w:val="center"/>
          </w:tcPr>
          <w:p w14:paraId="74A48A6F">
            <w:pPr>
              <w:pStyle w:val="6"/>
              <w:widowControl/>
              <w:spacing w:beforeAutospacing="0" w:afterAutospacing="0" w:line="324" w:lineRule="atLeast"/>
              <w:ind w:left="34"/>
            </w:pPr>
            <w:r>
              <w:t>Temperature</w:t>
            </w:r>
          </w:p>
        </w:tc>
        <w:tc>
          <w:tcPr>
            <w:tcW w:w="5535" w:type="dxa"/>
            <w:gridSpan w:val="3"/>
            <w:shd w:val="clear" w:color="auto" w:fill="auto"/>
            <w:vAlign w:val="center"/>
          </w:tcPr>
          <w:p w14:paraId="75F43298">
            <w:pPr>
              <w:pStyle w:val="6"/>
              <w:widowControl/>
              <w:spacing w:beforeAutospacing="0" w:afterAutospacing="0" w:line="324" w:lineRule="atLeast"/>
              <w:ind w:left="34"/>
            </w:pPr>
            <w:r>
              <w:t>0~45℃(operation), -20~80℃(storage)</w:t>
            </w:r>
          </w:p>
        </w:tc>
      </w:tr>
      <w:tr w14:paraId="4B2F87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695" w:type="dxa"/>
            <w:vMerge w:val="continue"/>
            <w:shd w:val="clear" w:color="auto" w:fill="auto"/>
            <w:vAlign w:val="center"/>
          </w:tcPr>
          <w:p w14:paraId="70F56F62">
            <w:pPr>
              <w:jc w:val="left"/>
              <w:rPr>
                <w:rFonts w:ascii="宋体"/>
                <w:sz w:val="24"/>
                <w:szCs w:val="24"/>
              </w:rPr>
            </w:pPr>
          </w:p>
        </w:tc>
        <w:tc>
          <w:tcPr>
            <w:tcW w:w="2550" w:type="dxa"/>
            <w:shd w:val="clear" w:color="auto" w:fill="auto"/>
            <w:vAlign w:val="center"/>
          </w:tcPr>
          <w:p w14:paraId="307E029E">
            <w:pPr>
              <w:pStyle w:val="6"/>
              <w:widowControl/>
              <w:spacing w:beforeAutospacing="0" w:afterAutospacing="0" w:line="324" w:lineRule="atLeast"/>
              <w:ind w:left="34"/>
            </w:pPr>
            <w:r>
              <w:t>Power Supply</w:t>
            </w:r>
          </w:p>
        </w:tc>
        <w:tc>
          <w:tcPr>
            <w:tcW w:w="5535" w:type="dxa"/>
            <w:gridSpan w:val="3"/>
            <w:shd w:val="clear" w:color="auto" w:fill="auto"/>
            <w:vAlign w:val="center"/>
          </w:tcPr>
          <w:p w14:paraId="696FBD03">
            <w:pPr>
              <w:pStyle w:val="6"/>
              <w:widowControl/>
              <w:spacing w:beforeAutospacing="0" w:afterAutospacing="0" w:line="324" w:lineRule="atLeast"/>
              <w:ind w:left="34"/>
            </w:pPr>
            <w:r>
              <w:t>AC 100V±10%, 50/60Hz ; or  AC 220V±10%, 50/60Hz</w:t>
            </w:r>
          </w:p>
        </w:tc>
      </w:tr>
      <w:tr w14:paraId="018E24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695" w:type="dxa"/>
            <w:vMerge w:val="continue"/>
            <w:shd w:val="clear" w:color="auto" w:fill="auto"/>
            <w:vAlign w:val="center"/>
          </w:tcPr>
          <w:p w14:paraId="06D0221E">
            <w:pPr>
              <w:jc w:val="left"/>
              <w:rPr>
                <w:rFonts w:ascii="宋体"/>
                <w:sz w:val="24"/>
                <w:szCs w:val="24"/>
              </w:rPr>
            </w:pPr>
          </w:p>
        </w:tc>
        <w:tc>
          <w:tcPr>
            <w:tcW w:w="2550" w:type="dxa"/>
            <w:shd w:val="clear" w:color="auto" w:fill="auto"/>
            <w:vAlign w:val="center"/>
          </w:tcPr>
          <w:p w14:paraId="2D0CCF33">
            <w:pPr>
              <w:pStyle w:val="6"/>
              <w:widowControl/>
              <w:spacing w:beforeAutospacing="0" w:afterAutospacing="0" w:line="324" w:lineRule="atLeast"/>
              <w:ind w:left="34"/>
            </w:pPr>
            <w:r>
              <w:t>Consumption</w:t>
            </w:r>
          </w:p>
        </w:tc>
        <w:tc>
          <w:tcPr>
            <w:tcW w:w="5535" w:type="dxa"/>
            <w:gridSpan w:val="3"/>
            <w:shd w:val="clear" w:color="auto" w:fill="auto"/>
            <w:vAlign w:val="center"/>
          </w:tcPr>
          <w:p w14:paraId="7C7F0108">
            <w:pPr>
              <w:pStyle w:val="6"/>
              <w:widowControl/>
              <w:spacing w:beforeAutospacing="0" w:afterAutospacing="0" w:line="324" w:lineRule="atLeast"/>
            </w:pPr>
            <w:r>
              <w:t>50W(1 daughter QAM card)/75W(2 daughter QAM cards)</w:t>
            </w:r>
          </w:p>
        </w:tc>
      </w:tr>
    </w:tbl>
    <w:p w14:paraId="5C3C2E0A">
      <w:pPr>
        <w:pStyle w:val="6"/>
        <w:widowControl/>
        <w:spacing w:beforeAutospacing="0" w:afterAutospacing="0" w:line="324" w:lineRule="atLeast"/>
      </w:pPr>
      <w:r>
        <w:rPr>
          <w:rFonts w:ascii="Verdana" w:hAnsi="Verdana" w:cs="Verdana"/>
          <w:color w:val="333333"/>
          <w:sz w:val="18"/>
          <w:szCs w:val="18"/>
          <w:shd w:val="clear" w:color="auto" w:fill="FEFCFD"/>
        </w:rPr>
        <w:t> </w:t>
      </w:r>
    </w:p>
    <w:p w14:paraId="5F3691D2">
      <w:pPr>
        <w:pStyle w:val="6"/>
        <w:widowControl/>
        <w:spacing w:beforeAutospacing="0" w:afterAutospacing="0" w:line="324" w:lineRule="atLeast"/>
      </w:pPr>
      <w:r>
        <w:rPr>
          <w:rStyle w:val="10"/>
          <w:rFonts w:ascii="Verdana" w:hAnsi="Verdana" w:cs="Verdana"/>
          <w:color w:val="333333"/>
          <w:sz w:val="18"/>
          <w:szCs w:val="18"/>
          <w:shd w:val="clear" w:color="auto" w:fill="FEFCFD"/>
        </w:rPr>
        <w:t>Order Guide</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3395"/>
        <w:gridCol w:w="6355"/>
      </w:tblGrid>
      <w:tr w14:paraId="5CD49D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3405" w:type="dxa"/>
            <w:shd w:val="clear" w:color="auto" w:fill="auto"/>
            <w:vAlign w:val="center"/>
          </w:tcPr>
          <w:p w14:paraId="78CD4235">
            <w:pPr>
              <w:pStyle w:val="6"/>
              <w:widowControl/>
              <w:spacing w:beforeAutospacing="0" w:afterAutospacing="0" w:line="324" w:lineRule="atLeast"/>
            </w:pPr>
            <w:r>
              <w:rPr>
                <w:rStyle w:val="10"/>
              </w:rPr>
              <w:t>Options Available</w:t>
            </w:r>
          </w:p>
        </w:tc>
        <w:tc>
          <w:tcPr>
            <w:tcW w:w="6375" w:type="dxa"/>
            <w:shd w:val="clear" w:color="auto" w:fill="auto"/>
            <w:vAlign w:val="center"/>
          </w:tcPr>
          <w:p w14:paraId="1AA672EE">
            <w:pPr>
              <w:pStyle w:val="6"/>
              <w:widowControl/>
              <w:spacing w:beforeAutospacing="0" w:afterAutospacing="0" w:line="324" w:lineRule="atLeast"/>
            </w:pPr>
            <w:r>
              <w:rPr>
                <w:rStyle w:val="10"/>
              </w:rPr>
              <w:t>Combinations</w:t>
            </w:r>
          </w:p>
        </w:tc>
      </w:tr>
      <w:tr w14:paraId="5216EC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3405" w:type="dxa"/>
            <w:shd w:val="clear" w:color="auto" w:fill="auto"/>
            <w:vAlign w:val="center"/>
          </w:tcPr>
          <w:p w14:paraId="3C9DCF12">
            <w:pPr>
              <w:pStyle w:val="6"/>
              <w:widowControl/>
              <w:spacing w:beforeAutospacing="0" w:afterAutospacing="0" w:line="324" w:lineRule="atLeast"/>
            </w:pPr>
            <w:r>
              <w:t>32ch QAM out</w:t>
            </w:r>
          </w:p>
        </w:tc>
        <w:tc>
          <w:tcPr>
            <w:tcW w:w="6375" w:type="dxa"/>
            <w:shd w:val="clear" w:color="auto" w:fill="auto"/>
            <w:vAlign w:val="center"/>
          </w:tcPr>
          <w:p w14:paraId="4C222A43">
            <w:pPr>
              <w:pStyle w:val="6"/>
              <w:widowControl/>
              <w:spacing w:beforeAutospacing="0" w:afterAutospacing="0" w:line="324" w:lineRule="atLeast"/>
            </w:pPr>
            <w:r>
              <w:t>32qam card * 1</w:t>
            </w:r>
          </w:p>
        </w:tc>
      </w:tr>
      <w:tr w14:paraId="343B87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301" w:hRule="atLeast"/>
          <w:tblCellSpacing w:w="0" w:type="dxa"/>
        </w:trPr>
        <w:tc>
          <w:tcPr>
            <w:tcW w:w="3405" w:type="dxa"/>
            <w:shd w:val="clear" w:color="auto" w:fill="auto"/>
            <w:vAlign w:val="center"/>
          </w:tcPr>
          <w:p w14:paraId="1D068D79">
            <w:pPr>
              <w:pStyle w:val="6"/>
              <w:widowControl/>
              <w:spacing w:beforeAutospacing="0" w:afterAutospacing="0" w:line="324" w:lineRule="atLeast"/>
            </w:pPr>
            <w:r>
              <w:t>48ch QAM out</w:t>
            </w:r>
          </w:p>
        </w:tc>
        <w:tc>
          <w:tcPr>
            <w:tcW w:w="6375" w:type="dxa"/>
            <w:shd w:val="clear" w:color="auto" w:fill="auto"/>
            <w:vAlign w:val="center"/>
          </w:tcPr>
          <w:p w14:paraId="2546BCD7">
            <w:pPr>
              <w:pStyle w:val="6"/>
              <w:widowControl/>
              <w:spacing w:beforeAutospacing="0" w:afterAutospacing="0" w:line="324" w:lineRule="atLeast"/>
            </w:pPr>
            <w:r>
              <w:t>48qam card * 1</w:t>
            </w:r>
          </w:p>
        </w:tc>
      </w:tr>
      <w:tr w14:paraId="050352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3405" w:type="dxa"/>
            <w:shd w:val="clear" w:color="auto" w:fill="auto"/>
            <w:vAlign w:val="center"/>
          </w:tcPr>
          <w:p w14:paraId="670BAE03">
            <w:pPr>
              <w:pStyle w:val="6"/>
              <w:widowControl/>
              <w:spacing w:beforeAutospacing="0" w:afterAutospacing="0" w:line="324" w:lineRule="atLeast"/>
            </w:pPr>
            <w:r>
              <w:t>64ch QAM out</w:t>
            </w:r>
          </w:p>
        </w:tc>
        <w:tc>
          <w:tcPr>
            <w:tcW w:w="6375" w:type="dxa"/>
            <w:shd w:val="clear" w:color="auto" w:fill="auto"/>
            <w:vAlign w:val="center"/>
          </w:tcPr>
          <w:p w14:paraId="56CE314D">
            <w:pPr>
              <w:pStyle w:val="6"/>
              <w:widowControl/>
              <w:spacing w:beforeAutospacing="0" w:afterAutospacing="0" w:line="324" w:lineRule="atLeast"/>
            </w:pPr>
            <w:r>
              <w:t>64qam card * 1</w:t>
            </w:r>
          </w:p>
        </w:tc>
      </w:tr>
      <w:tr w14:paraId="4E0939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3405" w:type="dxa"/>
            <w:shd w:val="clear" w:color="auto" w:fill="auto"/>
            <w:vAlign w:val="center"/>
          </w:tcPr>
          <w:p w14:paraId="6770190D">
            <w:pPr>
              <w:pStyle w:val="6"/>
              <w:widowControl/>
              <w:spacing w:beforeAutospacing="0" w:afterAutospacing="0" w:line="324" w:lineRule="atLeast"/>
            </w:pPr>
            <w:r>
              <w:t>80ch QAM out</w:t>
            </w:r>
          </w:p>
        </w:tc>
        <w:tc>
          <w:tcPr>
            <w:tcW w:w="6375" w:type="dxa"/>
            <w:shd w:val="clear" w:color="auto" w:fill="auto"/>
            <w:vAlign w:val="center"/>
          </w:tcPr>
          <w:p w14:paraId="6EEC1DE6">
            <w:pPr>
              <w:pStyle w:val="6"/>
              <w:widowControl/>
              <w:spacing w:beforeAutospacing="0" w:afterAutospacing="0" w:line="324" w:lineRule="atLeast"/>
            </w:pPr>
            <w:r>
              <w:t>64qam card * 1 + 16qam card *1</w:t>
            </w:r>
          </w:p>
        </w:tc>
      </w:tr>
      <w:tr w14:paraId="636F31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3405" w:type="dxa"/>
            <w:shd w:val="clear" w:color="auto" w:fill="auto"/>
            <w:vAlign w:val="center"/>
          </w:tcPr>
          <w:p w14:paraId="07B461F1">
            <w:pPr>
              <w:pStyle w:val="6"/>
              <w:widowControl/>
              <w:spacing w:beforeAutospacing="0" w:afterAutospacing="0" w:line="324" w:lineRule="atLeast"/>
            </w:pPr>
            <w:r>
              <w:t>96ch QAM out</w:t>
            </w:r>
          </w:p>
        </w:tc>
        <w:tc>
          <w:tcPr>
            <w:tcW w:w="6375" w:type="dxa"/>
            <w:shd w:val="clear" w:color="auto" w:fill="auto"/>
            <w:vAlign w:val="center"/>
          </w:tcPr>
          <w:p w14:paraId="2B9E21C2">
            <w:pPr>
              <w:pStyle w:val="6"/>
              <w:widowControl/>
              <w:spacing w:beforeAutospacing="0" w:afterAutospacing="0" w:line="324" w:lineRule="atLeast"/>
            </w:pPr>
            <w:r>
              <w:t>64qam card * 1 + 32qam card *1</w:t>
            </w:r>
          </w:p>
        </w:tc>
      </w:tr>
      <w:tr w14:paraId="745B55E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3405" w:type="dxa"/>
            <w:shd w:val="clear" w:color="auto" w:fill="auto"/>
            <w:vAlign w:val="center"/>
          </w:tcPr>
          <w:p w14:paraId="777BC567">
            <w:pPr>
              <w:pStyle w:val="6"/>
              <w:widowControl/>
              <w:spacing w:beforeAutospacing="0" w:afterAutospacing="0" w:line="324" w:lineRule="atLeast"/>
            </w:pPr>
            <w:r>
              <w:t>112ch QAM out</w:t>
            </w:r>
          </w:p>
        </w:tc>
        <w:tc>
          <w:tcPr>
            <w:tcW w:w="6375" w:type="dxa"/>
            <w:shd w:val="clear" w:color="auto" w:fill="auto"/>
            <w:vAlign w:val="center"/>
          </w:tcPr>
          <w:p w14:paraId="6A3278CB">
            <w:pPr>
              <w:pStyle w:val="6"/>
              <w:widowControl/>
              <w:spacing w:beforeAutospacing="0" w:afterAutospacing="0" w:line="324" w:lineRule="atLeast"/>
            </w:pPr>
            <w:r>
              <w:t>64qam card * 1 + 48qam card *1</w:t>
            </w:r>
          </w:p>
        </w:tc>
      </w:tr>
    </w:tbl>
    <w:p w14:paraId="41F428BD">
      <w:pPr>
        <w:pStyle w:val="6"/>
        <w:widowControl/>
        <w:spacing w:beforeAutospacing="0" w:afterAutospacing="0" w:line="324" w:lineRule="atLeast"/>
      </w:pPr>
      <w:r>
        <w:rPr>
          <w:rFonts w:ascii="Verdana" w:hAnsi="Verdana" w:cs="Verdana"/>
          <w:color w:val="333333"/>
          <w:sz w:val="18"/>
          <w:szCs w:val="18"/>
          <w:shd w:val="clear" w:color="auto" w:fill="FEFCFD"/>
        </w:rPr>
        <w:t> </w:t>
      </w:r>
    </w:p>
    <w:p w14:paraId="09F7CEAB">
      <w:pPr>
        <w:widowControl/>
        <w:shd w:val="clear" w:color="auto" w:fill="F2F2F4"/>
        <w:jc w:val="left"/>
        <w:rPr>
          <w:rFonts w:ascii="Verdana" w:hAnsi="Verdana" w:cs="Verdana"/>
          <w:color w:val="333333"/>
          <w:sz w:val="18"/>
          <w:szCs w:val="18"/>
        </w:rPr>
      </w:pPr>
    </w:p>
    <w:p w14:paraId="4836475D">
      <w:pPr>
        <w:rPr>
          <w:rFonts w:ascii="Verdana" w:hAnsi="Verdana" w:cs="Verdana"/>
          <w:color w:val="000000"/>
          <w:sz w:val="28"/>
        </w:rPr>
      </w:pPr>
    </w:p>
    <w:p w14:paraId="15D46ECE">
      <w:pPr>
        <w:rPr>
          <w:rFonts w:ascii="Verdana" w:hAnsi="Verdana" w:cs="Verdana"/>
          <w:b/>
          <w:color w:val="000000"/>
          <w:sz w:val="22"/>
        </w:rPr>
      </w:pPr>
      <w:r>
        <w:rPr>
          <w:rFonts w:hint="eastAsia" w:ascii="Verdana" w:hAnsi="Verdana" w:cs="Verdana"/>
          <w:b/>
          <w:color w:val="000000"/>
          <w:sz w:val="22"/>
        </w:rPr>
        <w:t>About Us</w:t>
      </w:r>
    </w:p>
    <w:p w14:paraId="1A92C493">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5A131D76">
      <w:pPr>
        <w:rPr>
          <w:rFonts w:ascii="Verdana" w:hAnsi="Verdana" w:cs="Verdana"/>
          <w:color w:val="000000"/>
          <w:sz w:val="18"/>
        </w:rPr>
      </w:pPr>
    </w:p>
    <w:p w14:paraId="59A7543D">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51D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24C83E91">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14EA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2C2467"/>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D6397"/>
    <w:rsid w:val="00AE759F"/>
    <w:rsid w:val="00AF7C10"/>
    <w:rsid w:val="00B11FEF"/>
    <w:rsid w:val="00B4381C"/>
    <w:rsid w:val="00B539FF"/>
    <w:rsid w:val="00B56E04"/>
    <w:rsid w:val="00BD4043"/>
    <w:rsid w:val="00C44FAF"/>
    <w:rsid w:val="00D24477"/>
    <w:rsid w:val="00F268A0"/>
    <w:rsid w:val="00F714FF"/>
    <w:rsid w:val="00F7593F"/>
    <w:rsid w:val="00FC60FC"/>
    <w:rsid w:val="033D434A"/>
    <w:rsid w:val="05065A7B"/>
    <w:rsid w:val="05756215"/>
    <w:rsid w:val="0A680B1B"/>
    <w:rsid w:val="0E714EC9"/>
    <w:rsid w:val="0F5901AE"/>
    <w:rsid w:val="0FC87CEA"/>
    <w:rsid w:val="101C4557"/>
    <w:rsid w:val="14AB6200"/>
    <w:rsid w:val="15C25510"/>
    <w:rsid w:val="15D65ADC"/>
    <w:rsid w:val="18AE427D"/>
    <w:rsid w:val="18E81EA3"/>
    <w:rsid w:val="1B974A15"/>
    <w:rsid w:val="1C341121"/>
    <w:rsid w:val="1CDC4CA0"/>
    <w:rsid w:val="1FCC39C5"/>
    <w:rsid w:val="20F61905"/>
    <w:rsid w:val="2199682E"/>
    <w:rsid w:val="239E3C7B"/>
    <w:rsid w:val="27B55639"/>
    <w:rsid w:val="2A752F8B"/>
    <w:rsid w:val="2C665CEA"/>
    <w:rsid w:val="2E0F6BE8"/>
    <w:rsid w:val="2FD90B58"/>
    <w:rsid w:val="314F3E41"/>
    <w:rsid w:val="3300449A"/>
    <w:rsid w:val="344A7DA2"/>
    <w:rsid w:val="3B533162"/>
    <w:rsid w:val="45872050"/>
    <w:rsid w:val="478E224E"/>
    <w:rsid w:val="485E04E5"/>
    <w:rsid w:val="487316FE"/>
    <w:rsid w:val="49B75FAC"/>
    <w:rsid w:val="4E4A4BF6"/>
    <w:rsid w:val="4F8D25ED"/>
    <w:rsid w:val="51AD130D"/>
    <w:rsid w:val="52443E1E"/>
    <w:rsid w:val="540A3FAB"/>
    <w:rsid w:val="559B726F"/>
    <w:rsid w:val="562E484B"/>
    <w:rsid w:val="56834992"/>
    <w:rsid w:val="5930748A"/>
    <w:rsid w:val="59933671"/>
    <w:rsid w:val="5AA83521"/>
    <w:rsid w:val="5EEA5249"/>
    <w:rsid w:val="609213A6"/>
    <w:rsid w:val="61BA6334"/>
    <w:rsid w:val="63C27F07"/>
    <w:rsid w:val="68AD6386"/>
    <w:rsid w:val="6D7A6503"/>
    <w:rsid w:val="70757613"/>
    <w:rsid w:val="70B756B4"/>
    <w:rsid w:val="73270F88"/>
    <w:rsid w:val="733177FA"/>
    <w:rsid w:val="74455F31"/>
    <w:rsid w:val="7540100C"/>
    <w:rsid w:val="75F91EEC"/>
    <w:rsid w:val="77935A18"/>
    <w:rsid w:val="79804D8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IPQAM/DHP200C/3EEECN_20210812034654.jpg" TargetMode="External"/><Relationship Id="rId8" Type="http://schemas.openxmlformats.org/officeDocument/2006/relationships/image" Target="media/image3.png"/><Relationship Id="rId7" Type="http://schemas.openxmlformats.org/officeDocument/2006/relationships/hyperlink" Target="https://english.dsdvb.com/Upload/images/Product/IPQAM/DHP200C/3EEECN_20201027034204.pn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213</Words>
  <Characters>1220</Characters>
  <Lines>25</Lines>
  <Paragraphs>7</Paragraphs>
  <TotalTime>27</TotalTime>
  <ScaleCrop>false</ScaleCrop>
  <LinksUpToDate>false</LinksUpToDate>
  <CharactersWithSpaces>1428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2025-08-20T06:50:20Z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