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581B9">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FUQ-2500B Analog RF Modulator 32-64 Channel IP-HDMI-AV Input PAL-NTSC-SECAM Output HEVC-H.265-H.264-MPEG-2 A2-NICAM728 OSD Insertion Broadcast Systems</w:t>
      </w:r>
      <w:r>
        <w:rPr>
          <w:rFonts w:ascii="Verdana" w:hAnsi="Verdana" w:cs="Verdana"/>
          <w:color w:val="000000"/>
          <w:sz w:val="28"/>
        </w:rPr>
        <w:drawing>
          <wp:inline distT="0" distB="0" distL="114300" distR="114300">
            <wp:extent cx="5191760" cy="2561590"/>
            <wp:effectExtent l="0" t="0" r="0" b="0"/>
            <wp:docPr id="1" name="图片 1" descr="3EEECN_20241210103054"/>
            <wp:cNvGraphicFramePr/>
            <a:graphic xmlns:a="http://schemas.openxmlformats.org/drawingml/2006/main">
              <a:graphicData uri="http://schemas.openxmlformats.org/drawingml/2006/picture">
                <pic:pic xmlns:pic="http://schemas.openxmlformats.org/drawingml/2006/picture">
                  <pic:nvPicPr>
                    <pic:cNvPr id="1" name="图片 1" descr="3EEECN_20241210103054"/>
                    <pic:cNvPicPr/>
                  </pic:nvPicPr>
                  <pic:blipFill>
                    <a:blip r:embed="rId6"/>
                    <a:stretch>
                      <a:fillRect/>
                    </a:stretch>
                  </pic:blipFill>
                  <pic:spPr>
                    <a:xfrm>
                      <a:off x="0" y="0"/>
                      <a:ext cx="5191760" cy="256159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5535" cy="2223770"/>
            <wp:effectExtent l="0" t="0" r="5715" b="5080"/>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6185535" cy="2223770"/>
                    </a:xfrm>
                    <a:prstGeom prst="rect">
                      <a:avLst/>
                    </a:prstGeom>
                    <a:noFill/>
                    <a:ln w="9525">
                      <a:noFill/>
                    </a:ln>
                  </pic:spPr>
                </pic:pic>
              </a:graphicData>
            </a:graphic>
          </wp:inline>
        </w:drawing>
      </w:r>
    </w:p>
    <w:p w14:paraId="5F061568">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706AB856">
      <w:pPr>
        <w:pStyle w:val="6"/>
        <w:widowControl/>
        <w:spacing w:beforeAutospacing="0" w:afterAutospacing="0" w:line="324" w:lineRule="atLeast"/>
        <w:jc w:val="center"/>
      </w:pPr>
      <w:bookmarkStart w:id="0" w:name="_GoBack"/>
      <w:r>
        <w:rPr>
          <w:rFonts w:ascii="Verdana" w:hAnsi="Verdana" w:cs="Verdana"/>
          <w:color w:val="333333"/>
          <w:sz w:val="18"/>
          <w:szCs w:val="18"/>
          <w:shd w:val="clear" w:color="auto" w:fill="FEFCFD"/>
        </w:rPr>
        <w:drawing>
          <wp:inline distT="0" distB="0" distL="114300" distR="114300">
            <wp:extent cx="6186170" cy="1506220"/>
            <wp:effectExtent l="0" t="0" r="5080" b="1778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6170" cy="1506220"/>
                    </a:xfrm>
                    <a:prstGeom prst="rect">
                      <a:avLst/>
                    </a:prstGeom>
                    <a:noFill/>
                    <a:ln w="9525">
                      <a:noFill/>
                    </a:ln>
                  </pic:spPr>
                </pic:pic>
              </a:graphicData>
            </a:graphic>
          </wp:inline>
        </w:drawing>
      </w:r>
      <w:bookmarkEnd w:id="0"/>
    </w:p>
    <w:p w14:paraId="6D955F9F">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78D5CC83">
      <w:pPr>
        <w:pStyle w:val="6"/>
        <w:widowControl/>
        <w:spacing w:beforeAutospacing="0" w:afterAutospacing="0" w:line="324" w:lineRule="atLeast"/>
        <w:rPr>
          <w:rStyle w:val="10"/>
          <w:rFonts w:hint="eastAsia" w:ascii="Verdana" w:hAnsi="Verdana" w:cs="Verdana"/>
          <w:color w:val="FF8C00"/>
          <w:szCs w:val="24"/>
          <w:shd w:val="clear" w:color="auto" w:fill="FEFCFD"/>
        </w:rPr>
      </w:pPr>
      <w:r>
        <w:rPr>
          <w:rFonts w:ascii="Verdana" w:hAnsi="Verdana" w:cs="Verdana"/>
          <w:color w:val="333333"/>
          <w:sz w:val="18"/>
          <w:szCs w:val="18"/>
          <w:shd w:val="clear" w:color="auto" w:fill="FEFCFD"/>
        </w:rPr>
        <w:t> </w:t>
      </w:r>
    </w:p>
    <w:p w14:paraId="0C450429">
      <w:pPr>
        <w:pStyle w:val="6"/>
        <w:widowControl/>
        <w:spacing w:beforeAutospacing="0" w:afterAutospacing="0" w:line="324" w:lineRule="atLeast"/>
        <w:rPr>
          <w:rStyle w:val="10"/>
          <w:rFonts w:hint="eastAsia" w:ascii="Verdana" w:hAnsi="Verdana" w:cs="Verdana"/>
          <w:color w:val="FF8C00"/>
          <w:szCs w:val="24"/>
          <w:shd w:val="clear" w:color="auto" w:fill="FEFCFD"/>
        </w:rPr>
      </w:pPr>
      <w:r>
        <w:rPr>
          <w:rStyle w:val="10"/>
          <w:rFonts w:hint="eastAsia" w:ascii="Verdana" w:hAnsi="Verdana" w:cs="Verdana"/>
          <w:color w:val="FF8C00"/>
          <w:szCs w:val="24"/>
          <w:shd w:val="clear" w:color="auto" w:fill="FEFCFD"/>
        </w:rPr>
        <w:t>Product overview</w:t>
      </w:r>
    </w:p>
    <w:p w14:paraId="01BCECCD">
      <w:pPr>
        <w:widowControl/>
        <w:numPr>
          <w:ilvl w:val="0"/>
          <w:numId w:val="0"/>
        </w:numPr>
        <w:spacing w:line="324" w:lineRule="atLeast"/>
        <w:ind w:left="-360" w:leftChars="0"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FUQ-2500B converts IP/HDMI/AV inputs to analog RF outputs for up to 64 channels. It processes signals with full digital processing for high SFDR performance, supporting A2 and NICAM728 audio standards and PAL/NTSC/SECAM modulation including OSD insertion. Applications include television broadcasting for PAL, NTSC, or SECAM systems.</w:t>
      </w:r>
    </w:p>
    <w:p w14:paraId="594AC82C">
      <w:pPr>
        <w:pStyle w:val="6"/>
        <w:widowControl/>
        <w:spacing w:beforeAutospacing="0" w:afterAutospacing="0" w:line="324" w:lineRule="atLeast"/>
        <w:rPr>
          <w:rStyle w:val="10"/>
          <w:rFonts w:hint="eastAsia" w:ascii="Verdana" w:hAnsi="Verdana" w:cs="Verdana"/>
          <w:color w:val="FF8C00"/>
          <w:szCs w:val="24"/>
          <w:shd w:val="clear" w:color="auto" w:fill="FEFCFD"/>
        </w:rPr>
      </w:pPr>
      <w:r>
        <w:rPr>
          <w:rStyle w:val="10"/>
          <w:rFonts w:hint="eastAsia" w:ascii="Verdana" w:hAnsi="Verdana" w:cs="Verdana"/>
          <w:color w:val="FF8C00"/>
          <w:szCs w:val="24"/>
          <w:shd w:val="clear" w:color="auto" w:fill="FEFCFD"/>
        </w:rPr>
        <w:t>Key feature</w:t>
      </w:r>
    </w:p>
    <w:p w14:paraId="3896FEE3">
      <w:pPr>
        <w:widowControl/>
        <w:numPr>
          <w:ilvl w:val="0"/>
          <w:numId w:val="0"/>
        </w:numPr>
        <w:spacing w:line="324" w:lineRule="atLeast"/>
        <w:ind w:left="-360" w:leftChars="0"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Supports A2 and NICAM728 audio standards with dual-channel mono and stereo modes.  </w:t>
      </w:r>
    </w:p>
    <w:p w14:paraId="5B14BB22">
      <w:pPr>
        <w:widowControl/>
        <w:numPr>
          <w:ilvl w:val="0"/>
          <w:numId w:val="0"/>
        </w:numPr>
        <w:spacing w:line="324" w:lineRule="atLeast"/>
        <w:ind w:left="-360" w:leftChars="0"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Ensures high SFDR performance through full digital processing for superior RF output.  </w:t>
      </w:r>
    </w:p>
    <w:p w14:paraId="736E37CD">
      <w:pPr>
        <w:widowControl/>
        <w:numPr>
          <w:ilvl w:val="0"/>
          <w:numId w:val="0"/>
        </w:numPr>
        <w:spacing w:line="324" w:lineRule="atLeast"/>
        <w:ind w:left="-360" w:leftChars="0"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Provides OSD customization with logo/caption insertion, adjustable scrolling, and multilingual support per channel.  </w:t>
      </w:r>
    </w:p>
    <w:p w14:paraId="659D7C40">
      <w:pPr>
        <w:widowControl/>
        <w:numPr>
          <w:ilvl w:val="0"/>
          <w:numId w:val="0"/>
        </w:numPr>
        <w:spacing w:line="324" w:lineRule="atLeast"/>
        <w:ind w:left="-360" w:leftChars="0"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Features hybrid input flexibility for 16-64 IP channels or HDMI/AV + IP combinations.  </w:t>
      </w:r>
    </w:p>
    <w:p w14:paraId="350382E6">
      <w:pPr>
        <w:widowControl/>
        <w:numPr>
          <w:ilvl w:val="0"/>
          <w:numId w:val="0"/>
        </w:numPr>
        <w:spacing w:line="324" w:lineRule="atLeast"/>
        <w:ind w:left="-360" w:leftChars="0"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Delivers multi-standard output with 32/64 carriers within 400MHz for PAL, NTSC, or SECAM broadcasts.  </w:t>
      </w:r>
    </w:p>
    <w:p w14:paraId="7F74CFEF">
      <w:pPr>
        <w:pStyle w:val="6"/>
        <w:widowControl/>
        <w:spacing w:beforeAutospacing="0" w:afterAutospacing="0" w:line="324" w:lineRule="atLeast"/>
        <w:rPr>
          <w:rStyle w:val="10"/>
          <w:rFonts w:hint="eastAsia" w:ascii="Verdana" w:hAnsi="Verdana" w:cs="Verdana"/>
          <w:color w:val="FF8C00"/>
          <w:szCs w:val="24"/>
          <w:shd w:val="clear" w:color="auto" w:fill="FEFCFD"/>
        </w:rPr>
      </w:pPr>
    </w:p>
    <w:p w14:paraId="0A178FFE">
      <w:pPr>
        <w:pStyle w:val="6"/>
        <w:widowControl/>
        <w:spacing w:beforeAutospacing="0" w:afterAutospacing="0" w:line="324" w:lineRule="atLeast"/>
      </w:pPr>
      <w:r>
        <w:rPr>
          <w:rStyle w:val="10"/>
          <w:rFonts w:ascii="Verdana" w:hAnsi="Verdana" w:cs="Verdana"/>
          <w:color w:val="FF8C00"/>
          <w:szCs w:val="24"/>
          <w:shd w:val="clear" w:color="auto" w:fill="FEFCFD"/>
        </w:rPr>
        <w:t>Support A2 and NICAM728 mono and stereo audio, up to dual channels</w:t>
      </w:r>
    </w:p>
    <w:p w14:paraId="69CC1A83">
      <w:pPr>
        <w:pStyle w:val="6"/>
        <w:widowControl/>
        <w:spacing w:beforeAutospacing="0" w:afterAutospacing="0" w:line="324" w:lineRule="atLeast"/>
      </w:pPr>
      <w:r>
        <w:rPr>
          <w:rStyle w:val="10"/>
          <w:rFonts w:ascii="Verdana" w:hAnsi="Verdana" w:cs="Verdana"/>
          <w:color w:val="333333"/>
          <w:sz w:val="18"/>
          <w:szCs w:val="18"/>
          <w:shd w:val="clear" w:color="auto" w:fill="FEFCFD"/>
        </w:rPr>
        <w:t>Audio options available:</w:t>
      </w:r>
    </w:p>
    <w:p w14:paraId="5024A382">
      <w:pPr>
        <w:widowControl/>
        <w:numPr>
          <w:ilvl w:val="0"/>
          <w:numId w:val="1"/>
        </w:numPr>
        <w:spacing w:line="324" w:lineRule="atLeast"/>
        <w:ind w:left="0"/>
      </w:pPr>
      <w:r>
        <w:rPr>
          <w:rFonts w:ascii="Verdana" w:hAnsi="Verdana" w:cs="Verdana"/>
          <w:color w:val="333333"/>
          <w:sz w:val="18"/>
          <w:szCs w:val="18"/>
          <w:shd w:val="clear" w:color="auto" w:fill="FEFCFD"/>
        </w:rPr>
        <w:t>Mono L, Mono R, Mono L+R</w:t>
      </w:r>
    </w:p>
    <w:p w14:paraId="6F8E8655">
      <w:pPr>
        <w:widowControl/>
        <w:numPr>
          <w:ilvl w:val="0"/>
          <w:numId w:val="1"/>
        </w:numPr>
        <w:spacing w:line="324" w:lineRule="atLeast"/>
        <w:ind w:left="0"/>
      </w:pPr>
      <w:r>
        <w:rPr>
          <w:rFonts w:ascii="Verdana" w:hAnsi="Verdana" w:cs="Verdana"/>
          <w:color w:val="333333"/>
          <w:sz w:val="18"/>
          <w:szCs w:val="18"/>
          <w:shd w:val="clear" w:color="auto" w:fill="FEFCFD"/>
        </w:rPr>
        <w:t>A2 Dual Mono (L, R), A2 Stereo</w:t>
      </w:r>
    </w:p>
    <w:p w14:paraId="1E13137D">
      <w:pPr>
        <w:widowControl/>
        <w:numPr>
          <w:ilvl w:val="0"/>
          <w:numId w:val="1"/>
        </w:numPr>
        <w:spacing w:line="324" w:lineRule="atLeast"/>
        <w:ind w:left="0"/>
      </w:pPr>
      <w:r>
        <w:rPr>
          <w:rFonts w:ascii="Verdana" w:hAnsi="Verdana" w:cs="Verdana"/>
          <w:color w:val="333333"/>
          <w:sz w:val="18"/>
          <w:szCs w:val="18"/>
          <w:shd w:val="clear" w:color="auto" w:fill="FEFCFD"/>
        </w:rPr>
        <w:t>NICAM Dual Mono (L, R), NICAM Stereo</w:t>
      </w:r>
    </w:p>
    <w:p w14:paraId="31B85E69">
      <w:pPr>
        <w:pStyle w:val="6"/>
        <w:widowControl/>
        <w:spacing w:beforeAutospacing="0" w:afterAutospacing="0" w:line="324" w:lineRule="atLeast"/>
      </w:pPr>
      <w:r>
        <w:rPr>
          <w:rFonts w:ascii="Verdana" w:hAnsi="Verdana" w:cs="Verdana"/>
          <w:color w:val="333333"/>
          <w:sz w:val="18"/>
          <w:szCs w:val="18"/>
          <w:shd w:val="clear" w:color="auto" w:fill="FEFCFD"/>
        </w:rPr>
        <w:t> </w:t>
      </w:r>
    </w:p>
    <w:p w14:paraId="61808714">
      <w:pPr>
        <w:pStyle w:val="6"/>
        <w:widowControl/>
        <w:spacing w:beforeAutospacing="0" w:afterAutospacing="0" w:line="324" w:lineRule="atLeast"/>
      </w:pPr>
      <w:r>
        <w:rPr>
          <w:rStyle w:val="10"/>
          <w:rFonts w:ascii="Verdana" w:hAnsi="Verdana" w:cs="Verdana"/>
          <w:color w:val="333333"/>
          <w:sz w:val="18"/>
          <w:szCs w:val="18"/>
          <w:shd w:val="clear" w:color="auto" w:fill="FEFCFD"/>
        </w:rPr>
        <w:t>Knowledge about A2 and NICAM 728 audio:</w:t>
      </w:r>
    </w:p>
    <w:p w14:paraId="50894D46">
      <w:pPr>
        <w:pStyle w:val="6"/>
        <w:widowControl/>
        <w:spacing w:beforeAutospacing="0" w:afterAutospacing="0" w:line="324" w:lineRule="atLeast"/>
      </w:pPr>
      <w:r>
        <w:rPr>
          <w:rFonts w:ascii="Verdana" w:hAnsi="Verdana" w:cs="Verdana"/>
          <w:color w:val="333333"/>
          <w:sz w:val="18"/>
          <w:szCs w:val="18"/>
          <w:shd w:val="clear" w:color="auto" w:fill="FEFCFD"/>
        </w:rPr>
        <w:t>NICAM 728: It is transmission of two-channel digital sound with terrestrial television systems B, G, H, l, K1 and L</w:t>
      </w:r>
    </w:p>
    <w:p w14:paraId="6C2BA126">
      <w:pPr>
        <w:pStyle w:val="6"/>
        <w:widowControl/>
        <w:spacing w:beforeAutospacing="0" w:afterAutospacing="0" w:line="324" w:lineRule="atLeast"/>
      </w:pPr>
      <w:r>
        <w:rPr>
          <w:rFonts w:ascii="Verdana" w:hAnsi="Verdana" w:cs="Verdana"/>
          <w:color w:val="333333"/>
          <w:sz w:val="18"/>
          <w:szCs w:val="18"/>
          <w:shd w:val="clear" w:color="auto" w:fill="FEFCFD"/>
        </w:rPr>
        <w:t>A2 Stereo: Known as "two-channel sound", it is an analog television sound transmission system used in Germany, Austria, Australia, Switzerland, NetherlaFU and some other countries that use or used PAL-B or PAL-G. .It relies on two separate FM ca</w:t>
      </w:r>
      <w:r>
        <w:rPr>
          <w:rFonts w:ascii="Verdana" w:hAnsi="Verdana" w:cs="Verdana"/>
          <w:color w:val="333333"/>
          <w:sz w:val="18"/>
          <w:szCs w:val="18"/>
          <w:shd w:val="clear" w:color="auto" w:fill="FEFCFD"/>
        </w:rPr>
        <w:drawing>
          <wp:inline distT="0" distB="0" distL="114300" distR="114300">
            <wp:extent cx="6185535" cy="6003290"/>
            <wp:effectExtent l="0" t="0" r="5715" b="16510"/>
            <wp:docPr id="7"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8"/>
                    <pic:cNvPicPr>
                      <a:picLocks noChangeAspect="1"/>
                    </pic:cNvPicPr>
                  </pic:nvPicPr>
                  <pic:blipFill>
                    <a:blip r:embed="rId12"/>
                    <a:stretch>
                      <a:fillRect/>
                    </a:stretch>
                  </pic:blipFill>
                  <pic:spPr>
                    <a:xfrm>
                      <a:off x="0" y="0"/>
                      <a:ext cx="6185535" cy="6003290"/>
                    </a:xfrm>
                    <a:prstGeom prst="rect">
                      <a:avLst/>
                    </a:prstGeom>
                    <a:noFill/>
                    <a:ln w="9525">
                      <a:noFill/>
                    </a:ln>
                  </pic:spPr>
                </pic:pic>
              </a:graphicData>
            </a:graphic>
          </wp:inline>
        </w:drawing>
      </w:r>
      <w:r>
        <w:rPr>
          <w:rFonts w:ascii="Verdana" w:hAnsi="Verdana" w:cs="Verdana"/>
          <w:color w:val="333333"/>
          <w:sz w:val="18"/>
          <w:szCs w:val="18"/>
          <w:shd w:val="clear" w:color="auto" w:fill="FEFCFD"/>
        </w:rPr>
        <w:t>rriers.</w:t>
      </w:r>
    </w:p>
    <w:p w14:paraId="654C669D">
      <w:pPr>
        <w:pStyle w:val="6"/>
        <w:widowControl/>
        <w:spacing w:beforeAutospacing="0" w:afterAutospacing="0" w:line="324" w:lineRule="atLeast"/>
        <w:jc w:val="center"/>
      </w:pP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5535" cy="6003290"/>
            <wp:effectExtent l="0" t="0" r="5715" b="16510"/>
            <wp:docPr id="8"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14"/>
                    <a:stretch>
                      <a:fillRect/>
                    </a:stretch>
                  </pic:blipFill>
                  <pic:spPr>
                    <a:xfrm>
                      <a:off x="0" y="0"/>
                      <a:ext cx="6185535" cy="6003290"/>
                    </a:xfrm>
                    <a:prstGeom prst="rect">
                      <a:avLst/>
                    </a:prstGeom>
                    <a:noFill/>
                    <a:ln w="9525">
                      <a:noFill/>
                    </a:ln>
                  </pic:spPr>
                </pic:pic>
              </a:graphicData>
            </a:graphic>
          </wp:inline>
        </w:drawing>
      </w:r>
    </w:p>
    <w:p w14:paraId="63044A31">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A2 Audio Spectral Diagram                                        NICAM Audio Spectral Diagram</w:t>
      </w:r>
    </w:p>
    <w:p w14:paraId="37C084D4">
      <w:pPr>
        <w:pStyle w:val="6"/>
        <w:widowControl/>
        <w:spacing w:beforeAutospacing="0" w:afterAutospacing="0" w:line="324" w:lineRule="atLeast"/>
      </w:pPr>
      <w:r>
        <w:rPr>
          <w:rFonts w:ascii="Verdana" w:hAnsi="Verdana" w:cs="Verdana"/>
          <w:color w:val="333333"/>
          <w:sz w:val="18"/>
          <w:szCs w:val="18"/>
          <w:shd w:val="clear" w:color="auto" w:fill="FEFCFD"/>
        </w:rPr>
        <w:t> </w:t>
      </w:r>
    </w:p>
    <w:p w14:paraId="1CFF5550">
      <w:pPr>
        <w:pStyle w:val="6"/>
        <w:widowControl/>
        <w:spacing w:beforeAutospacing="0" w:afterAutospacing="0" w:line="324" w:lineRule="atLeast"/>
      </w:pPr>
      <w:r>
        <w:rPr>
          <w:rStyle w:val="10"/>
          <w:rFonts w:ascii="Verdana" w:hAnsi="Verdana" w:cs="Verdana"/>
          <w:color w:val="FF8C00"/>
          <w:szCs w:val="24"/>
          <w:shd w:val="clear" w:color="auto" w:fill="FEFCFD"/>
        </w:rPr>
        <w:t>Support High SFDR Performance</w:t>
      </w:r>
    </w:p>
    <w:p w14:paraId="24EA1B52">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265" cy="3937000"/>
            <wp:effectExtent l="0" t="0" r="6985" b="6350"/>
            <wp:docPr id="2"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16"/>
                    <a:stretch>
                      <a:fillRect/>
                    </a:stretch>
                  </pic:blipFill>
                  <pic:spPr>
                    <a:xfrm>
                      <a:off x="0" y="0"/>
                      <a:ext cx="6184265" cy="3937000"/>
                    </a:xfrm>
                    <a:prstGeom prst="rect">
                      <a:avLst/>
                    </a:prstGeom>
                    <a:noFill/>
                    <a:ln w="9525">
                      <a:noFill/>
                    </a:ln>
                  </pic:spPr>
                </pic:pic>
              </a:graphicData>
            </a:graphic>
          </wp:inline>
        </w:drawing>
      </w:r>
    </w:p>
    <w:p w14:paraId="490A7822">
      <w:pPr>
        <w:pStyle w:val="6"/>
        <w:widowControl/>
        <w:spacing w:beforeAutospacing="0" w:afterAutospacing="0" w:line="324" w:lineRule="atLeast"/>
      </w:pPr>
      <w:r>
        <w:rPr>
          <w:rFonts w:ascii="Verdana" w:hAnsi="Verdana" w:cs="Verdana"/>
          <w:color w:val="333333"/>
          <w:sz w:val="18"/>
          <w:szCs w:val="18"/>
          <w:shd w:val="clear" w:color="auto" w:fill="FEFCFD"/>
        </w:rPr>
        <w:t> </w:t>
      </w:r>
    </w:p>
    <w:p w14:paraId="6B69E1BF">
      <w:pPr>
        <w:pStyle w:val="6"/>
        <w:widowControl/>
        <w:spacing w:beforeAutospacing="0" w:afterAutospacing="0" w:line="324" w:lineRule="atLeast"/>
      </w:pPr>
      <w:r>
        <w:rPr>
          <w:rStyle w:val="10"/>
          <w:rFonts w:ascii="Verdana" w:hAnsi="Verdana" w:cs="Verdana"/>
          <w:color w:val="FF8C00"/>
          <w:szCs w:val="24"/>
          <w:shd w:val="clear" w:color="auto" w:fill="FEFCFD"/>
        </w:rPr>
        <w:t>Full Digital Processing, Super RF out performance</w:t>
      </w:r>
    </w:p>
    <w:p w14:paraId="36984B8B">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0455" cy="3564255"/>
            <wp:effectExtent l="0" t="0" r="10795" b="17145"/>
            <wp:docPr id="11" name="图片 6"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IMG_261"/>
                    <pic:cNvPicPr>
                      <a:picLocks noChangeAspect="1"/>
                    </pic:cNvPicPr>
                  </pic:nvPicPr>
                  <pic:blipFill>
                    <a:blip r:embed="rId18"/>
                    <a:stretch>
                      <a:fillRect/>
                    </a:stretch>
                  </pic:blipFill>
                  <pic:spPr>
                    <a:xfrm>
                      <a:off x="0" y="0"/>
                      <a:ext cx="6180455" cy="3564255"/>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4265" cy="3080385"/>
            <wp:effectExtent l="0" t="0" r="6985" b="5715"/>
            <wp:docPr id="12" name="图片 7" descr="IMG_26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IMG_262"/>
                    <pic:cNvPicPr>
                      <a:picLocks noChangeAspect="1"/>
                    </pic:cNvPicPr>
                  </pic:nvPicPr>
                  <pic:blipFill>
                    <a:blip r:embed="rId20"/>
                    <a:stretch>
                      <a:fillRect/>
                    </a:stretch>
                  </pic:blipFill>
                  <pic:spPr>
                    <a:xfrm>
                      <a:off x="0" y="0"/>
                      <a:ext cx="6184265" cy="3080385"/>
                    </a:xfrm>
                    <a:prstGeom prst="rect">
                      <a:avLst/>
                    </a:prstGeom>
                    <a:noFill/>
                    <a:ln w="9525">
                      <a:noFill/>
                    </a:ln>
                  </pic:spPr>
                </pic:pic>
              </a:graphicData>
            </a:graphic>
          </wp:inline>
        </w:drawing>
      </w:r>
    </w:p>
    <w:p w14:paraId="5F539EE8">
      <w:pPr>
        <w:pStyle w:val="6"/>
        <w:widowControl/>
        <w:spacing w:beforeAutospacing="0" w:afterAutospacing="0" w:line="324" w:lineRule="atLeast"/>
      </w:pPr>
      <w:r>
        <w:rPr>
          <w:rFonts w:ascii="Verdana" w:hAnsi="Verdana" w:cs="Verdana"/>
          <w:color w:val="333333"/>
          <w:sz w:val="18"/>
          <w:szCs w:val="18"/>
          <w:shd w:val="clear" w:color="auto" w:fill="FEFCFD"/>
        </w:rPr>
        <w:t> </w:t>
      </w:r>
    </w:p>
    <w:p w14:paraId="6B84DF2A">
      <w:pPr>
        <w:pStyle w:val="6"/>
        <w:widowControl/>
        <w:spacing w:beforeAutospacing="0" w:afterAutospacing="0" w:line="324" w:lineRule="atLeast"/>
      </w:pPr>
      <w:r>
        <w:rPr>
          <w:rStyle w:val="10"/>
          <w:rFonts w:ascii="Verdana" w:hAnsi="Verdana" w:cs="Verdana"/>
          <w:color w:val="FF8C00"/>
          <w:szCs w:val="24"/>
          <w:shd w:val="clear" w:color="auto" w:fill="FEFCFD"/>
        </w:rPr>
        <w:t>Support OSD (Logo&amp;Caption) insertion for each channel, easy operation</w:t>
      </w:r>
    </w:p>
    <w:p w14:paraId="68F8A558">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2842260"/>
            <wp:effectExtent l="0" t="0" r="3810" b="15240"/>
            <wp:docPr id="9" name="图片 8" descr="IMG_263">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63"/>
                    <pic:cNvPicPr>
                      <a:picLocks noChangeAspect="1"/>
                    </pic:cNvPicPr>
                  </pic:nvPicPr>
                  <pic:blipFill>
                    <a:blip r:embed="rId22"/>
                    <a:stretch>
                      <a:fillRect/>
                    </a:stretch>
                  </pic:blipFill>
                  <pic:spPr>
                    <a:xfrm>
                      <a:off x="0" y="0"/>
                      <a:ext cx="6187440" cy="2842260"/>
                    </a:xfrm>
                    <a:prstGeom prst="rect">
                      <a:avLst/>
                    </a:prstGeom>
                    <a:noFill/>
                    <a:ln w="9525">
                      <a:noFill/>
                    </a:ln>
                  </pic:spPr>
                </pic:pic>
              </a:graphicData>
            </a:graphic>
          </wp:inline>
        </w:drawing>
      </w:r>
    </w:p>
    <w:p w14:paraId="198BC8A4">
      <w:pPr>
        <w:pStyle w:val="6"/>
        <w:widowControl/>
        <w:spacing w:beforeAutospacing="0" w:afterAutospacing="0" w:line="324" w:lineRule="atLeast"/>
      </w:pPr>
      <w:r>
        <w:rPr>
          <w:rFonts w:ascii="Verdana" w:hAnsi="Verdana" w:cs="Verdana"/>
          <w:color w:val="333333"/>
          <w:sz w:val="18"/>
          <w:szCs w:val="18"/>
          <w:shd w:val="clear" w:color="auto" w:fill="FEFCFD"/>
        </w:rPr>
        <w:t> </w:t>
      </w:r>
    </w:p>
    <w:p w14:paraId="47E114C9">
      <w:pPr>
        <w:pStyle w:val="6"/>
        <w:widowControl/>
        <w:spacing w:beforeAutospacing="0" w:afterAutospacing="0" w:line="324" w:lineRule="atLeast"/>
      </w:pPr>
      <w:r>
        <w:rPr>
          <w:rStyle w:val="10"/>
          <w:rFonts w:ascii="Verdana" w:hAnsi="Verdana" w:cs="Verdana"/>
          <w:color w:val="FF8C00"/>
          <w:szCs w:val="24"/>
          <w:shd w:val="clear" w:color="auto" w:fill="FEFCFD"/>
        </w:rPr>
        <w:t>Support Multiple-modulation Standard</w:t>
      </w:r>
    </w:p>
    <w:p w14:paraId="2974BB34">
      <w:pPr>
        <w:pStyle w:val="6"/>
        <w:widowControl/>
        <w:spacing w:beforeAutospacing="0" w:afterAutospacing="0" w:line="324" w:lineRule="atLeast"/>
      </w:pPr>
      <w:r>
        <w:rPr>
          <w:rFonts w:ascii="Verdana" w:hAnsi="Verdana" w:cs="Verdana"/>
          <w:color w:val="333333"/>
          <w:sz w:val="18"/>
          <w:szCs w:val="18"/>
          <w:shd w:val="clear" w:color="auto" w:fill="FEFCFD"/>
        </w:rPr>
        <w:t>32 (or 16/48/64) standard PAL or NTSC or SECAM TV programs output via 32 (or 16/48/64) non-adjacent or adjacent carriers output within 400MHz</w:t>
      </w:r>
    </w:p>
    <w:p w14:paraId="002FDFA6">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t> </w:t>
      </w:r>
    </w:p>
    <w:p w14:paraId="36B77E36">
      <w:pPr>
        <w:pStyle w:val="6"/>
        <w:widowControl/>
        <w:spacing w:beforeAutospacing="0" w:afterAutospacing="0" w:line="324" w:lineRule="atLeast"/>
        <w:rPr>
          <w:rFonts w:hint="eastAsia" w:eastAsiaTheme="minorEastAsia"/>
          <w:lang w:eastAsia="zh-CN"/>
        </w:rPr>
      </w:pPr>
      <w:r>
        <w:rPr>
          <w:rStyle w:val="10"/>
          <w:rFonts w:ascii="Verdana" w:hAnsi="Verdana" w:cs="Verdana"/>
          <w:color w:val="333333"/>
          <w:sz w:val="18"/>
          <w:szCs w:val="18"/>
          <w:shd w:val="clear" w:color="auto" w:fill="FEFCFD"/>
        </w:rPr>
        <w:t xml:space="preserve">Other </w:t>
      </w:r>
      <w:r>
        <w:rPr>
          <w:rStyle w:val="10"/>
          <w:rFonts w:hint="eastAsia" w:ascii="Verdana" w:hAnsi="Verdana" w:cs="Verdana"/>
          <w:color w:val="333333"/>
          <w:sz w:val="18"/>
          <w:szCs w:val="18"/>
          <w:shd w:val="clear" w:color="auto" w:fill="FEFCFD"/>
          <w:lang w:eastAsia="zh-CN"/>
        </w:rPr>
        <w:t>Key feature</w:t>
      </w:r>
    </w:p>
    <w:p w14:paraId="2FD6D65C">
      <w:pPr>
        <w:pStyle w:val="6"/>
        <w:widowControl/>
        <w:spacing w:beforeAutospacing="0" w:afterAutospacing="0" w:line="324" w:lineRule="atLeast"/>
      </w:pPr>
      <w:r>
        <w:rPr>
          <w:rFonts w:ascii="Verdana" w:hAnsi="Verdana" w:cs="Verdana"/>
          <w:color w:val="333333"/>
          <w:sz w:val="18"/>
          <w:szCs w:val="18"/>
          <w:shd w:val="clear" w:color="auto" w:fill="FEFCFD"/>
        </w:rPr>
        <w:t>Support to convert 32 (or 16/48/64) IP channels (or 4 HDMI/AV+28 IP channels, or 8 HDMI/AV+24 IP channels) to analog RF out</w:t>
      </w:r>
    </w:p>
    <w:p w14:paraId="1F737E5A">
      <w:pPr>
        <w:pStyle w:val="6"/>
        <w:widowControl/>
        <w:spacing w:beforeAutospacing="0" w:afterAutospacing="0" w:line="324" w:lineRule="atLeast"/>
      </w:pPr>
      <w:r>
        <w:rPr>
          <w:rFonts w:ascii="Verdana" w:hAnsi="Verdana" w:cs="Verdana"/>
          <w:color w:val="333333"/>
          <w:sz w:val="18"/>
          <w:szCs w:val="18"/>
          <w:shd w:val="clear" w:color="auto" w:fill="FEFCFD"/>
        </w:rPr>
        <w:t>Suport CC/Subtitle/Teletext</w:t>
      </w:r>
    </w:p>
    <w:p w14:paraId="4E74AF57">
      <w:pPr>
        <w:pStyle w:val="6"/>
        <w:widowControl/>
        <w:spacing w:beforeAutospacing="0" w:afterAutospacing="0" w:line="324" w:lineRule="atLeast"/>
      </w:pPr>
      <w:r>
        <w:rPr>
          <w:rFonts w:ascii="Verdana" w:hAnsi="Verdana" w:cs="Verdana"/>
          <w:color w:val="333333"/>
          <w:sz w:val="18"/>
          <w:szCs w:val="18"/>
          <w:shd w:val="clear" w:color="auto" w:fill="FEFCFD"/>
        </w:rPr>
        <w:t>Support BISS De-scrambling</w:t>
      </w:r>
    </w:p>
    <w:p w14:paraId="7E4873EC">
      <w:pPr>
        <w:pStyle w:val="6"/>
        <w:widowControl/>
        <w:spacing w:beforeAutospacing="0" w:afterAutospacing="0" w:line="324" w:lineRule="atLeast"/>
      </w:pPr>
      <w:r>
        <w:rPr>
          <w:rFonts w:ascii="Verdana" w:hAnsi="Verdana" w:cs="Verdana"/>
          <w:color w:val="333333"/>
          <w:sz w:val="18"/>
          <w:szCs w:val="18"/>
          <w:shd w:val="clear" w:color="auto" w:fill="FEFCFD"/>
        </w:rPr>
        <w:t>Support program info modify, multiple audio select l</w:t>
      </w:r>
    </w:p>
    <w:p w14:paraId="60E42046">
      <w:pPr>
        <w:pStyle w:val="6"/>
        <w:widowControl/>
        <w:spacing w:beforeAutospacing="0" w:afterAutospacing="0" w:line="324" w:lineRule="atLeast"/>
      </w:pPr>
      <w:r>
        <w:rPr>
          <w:rFonts w:ascii="Verdana" w:hAnsi="Verdana" w:cs="Verdana"/>
          <w:color w:val="333333"/>
          <w:sz w:val="18"/>
          <w:szCs w:val="18"/>
          <w:shd w:val="clear" w:color="auto" w:fill="FEFCFD"/>
        </w:rPr>
        <w:t>2 (or 4) GE ports for IP MPTS/SPTS input, Max 840Mbps for each GE input</w:t>
      </w:r>
    </w:p>
    <w:p w14:paraId="421B7878">
      <w:pPr>
        <w:pStyle w:val="6"/>
        <w:widowControl/>
        <w:spacing w:beforeAutospacing="0" w:afterAutospacing="0" w:line="324" w:lineRule="atLeast"/>
      </w:pPr>
      <w:r>
        <w:rPr>
          <w:rFonts w:ascii="Verdana" w:hAnsi="Verdana" w:cs="Verdana"/>
          <w:color w:val="333333"/>
          <w:sz w:val="18"/>
          <w:szCs w:val="18"/>
          <w:shd w:val="clear" w:color="auto" w:fill="FEFCFD"/>
        </w:rPr>
        <w:t>Support HEVC/H.265, H.264/AVC, MPEG-2 TS Decoding</w:t>
      </w:r>
    </w:p>
    <w:p w14:paraId="45F2D7FB">
      <w:pPr>
        <w:pStyle w:val="6"/>
        <w:widowControl/>
        <w:spacing w:beforeAutospacing="0" w:afterAutospacing="0" w:line="324" w:lineRule="atLeast"/>
      </w:pPr>
      <w:r>
        <w:rPr>
          <w:rFonts w:ascii="Verdana" w:hAnsi="Verdana" w:cs="Verdana"/>
          <w:color w:val="333333"/>
          <w:sz w:val="18"/>
          <w:szCs w:val="18"/>
          <w:shd w:val="clear" w:color="auto" w:fill="FEFCFD"/>
        </w:rPr>
        <w:t>32 (or 16/48/64) standard PAL or NTSC or SECAM TV programs output via 32 (or 16/48/64) non-adjacent or adjacent carriers output within 400MHz</w:t>
      </w:r>
    </w:p>
    <w:p w14:paraId="713B8DED">
      <w:pPr>
        <w:pStyle w:val="6"/>
        <w:widowControl/>
        <w:spacing w:beforeAutospacing="0" w:afterAutospacing="0" w:line="324" w:lineRule="atLeast"/>
      </w:pPr>
      <w:r>
        <w:rPr>
          <w:rFonts w:ascii="Verdana" w:hAnsi="Verdana" w:cs="Verdana"/>
          <w:color w:val="333333"/>
          <w:sz w:val="18"/>
          <w:szCs w:val="18"/>
          <w:shd w:val="clear" w:color="auto" w:fill="FEFCFD"/>
        </w:rPr>
        <w:t>Redundancy power supply for option</w:t>
      </w:r>
    </w:p>
    <w:p w14:paraId="26EE1732">
      <w:pPr>
        <w:pStyle w:val="6"/>
        <w:widowControl/>
        <w:spacing w:beforeAutospacing="0" w:afterAutospacing="0" w:line="324" w:lineRule="atLeast"/>
      </w:pPr>
      <w:r>
        <w:rPr>
          <w:rFonts w:ascii="Verdana" w:hAnsi="Verdana" w:cs="Verdana"/>
          <w:color w:val="333333"/>
          <w:sz w:val="18"/>
          <w:szCs w:val="18"/>
          <w:shd w:val="clear" w:color="auto" w:fill="FEFCFD"/>
        </w:rPr>
        <w:t>Compact body, Freight saving</w:t>
      </w:r>
    </w:p>
    <w:p w14:paraId="38050208">
      <w:pPr>
        <w:pStyle w:val="6"/>
        <w:widowControl/>
        <w:spacing w:beforeAutospacing="0" w:afterAutospacing="0" w:line="324" w:lineRule="atLeast"/>
      </w:pPr>
      <w:r>
        <w:rPr>
          <w:rFonts w:ascii="Verdana" w:hAnsi="Verdana" w:cs="Verdana"/>
          <w:color w:val="333333"/>
          <w:sz w:val="18"/>
          <w:szCs w:val="18"/>
          <w:shd w:val="clear" w:color="auto" w:fill="FEFCFD"/>
        </w:rPr>
        <w:t>Support Web-based Network management</w:t>
      </w:r>
    </w:p>
    <w:p w14:paraId="2488A839">
      <w:pPr>
        <w:pStyle w:val="6"/>
        <w:widowControl/>
        <w:spacing w:beforeAutospacing="0" w:afterAutospacing="0" w:line="324" w:lineRule="atLeast"/>
        <w:ind w:left="426"/>
      </w:pPr>
      <w:r>
        <w:rPr>
          <w:rFonts w:ascii="Verdana" w:hAnsi="Verdana" w:cs="Verdana"/>
          <w:color w:val="333333"/>
          <w:sz w:val="18"/>
          <w:szCs w:val="18"/>
          <w:shd w:val="clear" w:color="auto" w:fill="FEFCFD"/>
        </w:rPr>
        <w:t> </w:t>
      </w:r>
    </w:p>
    <w:p w14:paraId="29610878">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388"/>
        <w:gridCol w:w="2045"/>
        <w:gridCol w:w="6317"/>
      </w:tblGrid>
      <w:tr w14:paraId="0039B9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vMerge w:val="restart"/>
            <w:shd w:val="clear" w:color="auto" w:fill="auto"/>
            <w:vAlign w:val="center"/>
          </w:tcPr>
          <w:p w14:paraId="20EF4B93">
            <w:pPr>
              <w:pStyle w:val="6"/>
              <w:widowControl/>
              <w:spacing w:beforeAutospacing="0" w:afterAutospacing="0" w:line="324" w:lineRule="atLeast"/>
            </w:pPr>
            <w:r>
              <w:t>Input</w:t>
            </w:r>
          </w:p>
        </w:tc>
        <w:tc>
          <w:tcPr>
            <w:tcW w:w="0" w:type="auto"/>
            <w:shd w:val="clear" w:color="auto" w:fill="auto"/>
            <w:vAlign w:val="center"/>
          </w:tcPr>
          <w:p w14:paraId="18B13FE8">
            <w:pPr>
              <w:pStyle w:val="6"/>
              <w:widowControl/>
              <w:spacing w:beforeAutospacing="0" w:afterAutospacing="0" w:line="324" w:lineRule="atLeast"/>
            </w:pPr>
            <w:r>
              <w:t>Interface/rate</w:t>
            </w:r>
          </w:p>
        </w:tc>
        <w:tc>
          <w:tcPr>
            <w:tcW w:w="0" w:type="auto"/>
            <w:shd w:val="clear" w:color="auto" w:fill="auto"/>
            <w:vAlign w:val="center"/>
          </w:tcPr>
          <w:p w14:paraId="35605884">
            <w:pPr>
              <w:pStyle w:val="6"/>
              <w:widowControl/>
              <w:spacing w:beforeAutospacing="0" w:afterAutospacing="0" w:line="324" w:lineRule="atLeast"/>
            </w:pPr>
            <w:r>
              <w:t>32(or 16/48/64) IP (or 4 HDMI/AV+28 IP, or 8 HDMI/AV+24 IP) input</w:t>
            </w:r>
          </w:p>
          <w:p w14:paraId="1424455B">
            <w:pPr>
              <w:pStyle w:val="6"/>
              <w:widowControl/>
              <w:spacing w:beforeAutospacing="0" w:afterAutospacing="0" w:line="324" w:lineRule="atLeast"/>
            </w:pPr>
            <w:r>
              <w:t>2 /4 GE ports (max 64 IP input) </w:t>
            </w:r>
          </w:p>
          <w:p w14:paraId="7E43F619">
            <w:pPr>
              <w:pStyle w:val="6"/>
              <w:widowControl/>
              <w:spacing w:beforeAutospacing="0" w:afterAutospacing="0" w:line="324" w:lineRule="atLeast"/>
            </w:pPr>
            <w:r>
              <w:t>Max 840Mbps for each GE input</w:t>
            </w:r>
          </w:p>
        </w:tc>
      </w:tr>
      <w:tr w14:paraId="78391A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vMerge w:val="continue"/>
            <w:shd w:val="clear" w:color="auto" w:fill="auto"/>
            <w:vAlign w:val="center"/>
          </w:tcPr>
          <w:p w14:paraId="754E66B0">
            <w:pPr>
              <w:jc w:val="left"/>
              <w:rPr>
                <w:rFonts w:ascii="宋体"/>
                <w:sz w:val="24"/>
                <w:szCs w:val="24"/>
              </w:rPr>
            </w:pPr>
          </w:p>
        </w:tc>
        <w:tc>
          <w:tcPr>
            <w:tcW w:w="0" w:type="auto"/>
            <w:shd w:val="clear" w:color="auto" w:fill="auto"/>
            <w:vAlign w:val="center"/>
          </w:tcPr>
          <w:p w14:paraId="38966496">
            <w:pPr>
              <w:pStyle w:val="6"/>
              <w:widowControl/>
              <w:spacing w:beforeAutospacing="0" w:afterAutospacing="0" w:line="324" w:lineRule="atLeast"/>
            </w:pPr>
            <w:r>
              <w:t>Stream</w:t>
            </w:r>
          </w:p>
        </w:tc>
        <w:tc>
          <w:tcPr>
            <w:tcW w:w="0" w:type="auto"/>
            <w:shd w:val="clear" w:color="auto" w:fill="auto"/>
            <w:vAlign w:val="center"/>
          </w:tcPr>
          <w:p w14:paraId="46730109">
            <w:pPr>
              <w:pStyle w:val="6"/>
              <w:widowControl/>
              <w:spacing w:beforeAutospacing="0" w:afterAutospacing="0" w:line="324" w:lineRule="atLeast"/>
            </w:pPr>
            <w:r>
              <w:t>UDP, UDP / RTP, 1-7 packets (SPTS/MPTS)</w:t>
            </w:r>
          </w:p>
        </w:tc>
      </w:tr>
      <w:tr w14:paraId="2B361B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85" w:hRule="atLeast"/>
          <w:tblCellSpacing w:w="0" w:type="dxa"/>
        </w:trPr>
        <w:tc>
          <w:tcPr>
            <w:tcW w:w="0" w:type="auto"/>
            <w:vMerge w:val="continue"/>
            <w:shd w:val="clear" w:color="auto" w:fill="auto"/>
            <w:vAlign w:val="center"/>
          </w:tcPr>
          <w:p w14:paraId="56F74ACA">
            <w:pPr>
              <w:jc w:val="left"/>
              <w:rPr>
                <w:rFonts w:ascii="宋体"/>
                <w:sz w:val="24"/>
                <w:szCs w:val="24"/>
              </w:rPr>
            </w:pPr>
          </w:p>
        </w:tc>
        <w:tc>
          <w:tcPr>
            <w:tcW w:w="0" w:type="auto"/>
            <w:shd w:val="clear" w:color="auto" w:fill="auto"/>
            <w:vAlign w:val="center"/>
          </w:tcPr>
          <w:p w14:paraId="3764622C">
            <w:pPr>
              <w:pStyle w:val="6"/>
              <w:widowControl/>
              <w:spacing w:beforeAutospacing="0" w:afterAutospacing="0" w:line="324" w:lineRule="atLeast"/>
            </w:pPr>
            <w:r>
              <w:t>Transport Protocol</w:t>
            </w:r>
          </w:p>
        </w:tc>
        <w:tc>
          <w:tcPr>
            <w:tcW w:w="0" w:type="auto"/>
            <w:shd w:val="clear" w:color="auto" w:fill="auto"/>
            <w:vAlign w:val="center"/>
          </w:tcPr>
          <w:p w14:paraId="0D2AB68D">
            <w:pPr>
              <w:pStyle w:val="6"/>
              <w:widowControl/>
              <w:spacing w:beforeAutospacing="0" w:afterAutospacing="0" w:line="324" w:lineRule="atLeast"/>
            </w:pPr>
            <w:r>
              <w:t>UDP/RTP, unicast and multicast, IGMP V2/V3</w:t>
            </w:r>
          </w:p>
        </w:tc>
      </w:tr>
      <w:tr w14:paraId="4CFC9B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25" w:hRule="atLeast"/>
          <w:tblCellSpacing w:w="0" w:type="dxa"/>
        </w:trPr>
        <w:tc>
          <w:tcPr>
            <w:tcW w:w="0" w:type="auto"/>
            <w:vMerge w:val="continue"/>
            <w:shd w:val="clear" w:color="auto" w:fill="auto"/>
            <w:vAlign w:val="center"/>
          </w:tcPr>
          <w:p w14:paraId="6AC09AA7">
            <w:pPr>
              <w:jc w:val="left"/>
              <w:rPr>
                <w:rFonts w:ascii="宋体"/>
                <w:sz w:val="24"/>
                <w:szCs w:val="24"/>
              </w:rPr>
            </w:pPr>
          </w:p>
        </w:tc>
        <w:tc>
          <w:tcPr>
            <w:tcW w:w="0" w:type="auto"/>
            <w:shd w:val="clear" w:color="auto" w:fill="auto"/>
            <w:vAlign w:val="center"/>
          </w:tcPr>
          <w:p w14:paraId="49125F0A">
            <w:pPr>
              <w:pStyle w:val="6"/>
              <w:widowControl/>
              <w:spacing w:beforeAutospacing="0" w:afterAutospacing="0" w:line="324" w:lineRule="atLeast"/>
            </w:pPr>
            <w:r>
              <w:t>Packet Length</w:t>
            </w:r>
          </w:p>
        </w:tc>
        <w:tc>
          <w:tcPr>
            <w:tcW w:w="0" w:type="auto"/>
            <w:shd w:val="clear" w:color="auto" w:fill="auto"/>
            <w:vAlign w:val="center"/>
          </w:tcPr>
          <w:p w14:paraId="3531234F">
            <w:pPr>
              <w:pStyle w:val="6"/>
              <w:widowControl/>
              <w:spacing w:beforeAutospacing="0" w:afterAutospacing="0" w:line="324" w:lineRule="atLeast"/>
            </w:pPr>
            <w:r>
              <w:t>188 / 204 Bytes</w:t>
            </w:r>
          </w:p>
        </w:tc>
      </w:tr>
      <w:tr w14:paraId="25F4DF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26" w:hRule="atLeast"/>
          <w:tblCellSpacing w:w="0" w:type="dxa"/>
        </w:trPr>
        <w:tc>
          <w:tcPr>
            <w:tcW w:w="0" w:type="auto"/>
            <w:vMerge w:val="restart"/>
            <w:shd w:val="clear" w:color="auto" w:fill="auto"/>
            <w:vAlign w:val="center"/>
          </w:tcPr>
          <w:p w14:paraId="3C5DEFDD">
            <w:pPr>
              <w:pStyle w:val="6"/>
              <w:widowControl/>
              <w:spacing w:beforeAutospacing="0" w:afterAutospacing="0" w:line="324" w:lineRule="atLeast"/>
            </w:pPr>
            <w:r>
              <w:t>Decoding</w:t>
            </w:r>
          </w:p>
          <w:p w14:paraId="331AECC8">
            <w:pPr>
              <w:pStyle w:val="6"/>
              <w:widowControl/>
              <w:spacing w:beforeAutospacing="0" w:afterAutospacing="0" w:line="324" w:lineRule="atLeast"/>
            </w:pPr>
            <w:r>
              <w:t>Parameters</w:t>
            </w:r>
          </w:p>
        </w:tc>
        <w:tc>
          <w:tcPr>
            <w:tcW w:w="0" w:type="auto"/>
            <w:shd w:val="clear" w:color="auto" w:fill="auto"/>
            <w:vAlign w:val="center"/>
          </w:tcPr>
          <w:p w14:paraId="5190487A">
            <w:pPr>
              <w:pStyle w:val="6"/>
              <w:widowControl/>
              <w:spacing w:beforeAutospacing="0" w:afterAutospacing="0" w:line="324" w:lineRule="atLeast"/>
            </w:pPr>
            <w:r>
              <w:t>Video</w:t>
            </w:r>
          </w:p>
        </w:tc>
        <w:tc>
          <w:tcPr>
            <w:tcW w:w="0" w:type="auto"/>
            <w:shd w:val="clear" w:color="auto" w:fill="auto"/>
            <w:vAlign w:val="center"/>
          </w:tcPr>
          <w:p w14:paraId="25DF0CBD">
            <w:pPr>
              <w:pStyle w:val="6"/>
              <w:widowControl/>
              <w:spacing w:beforeAutospacing="0" w:afterAutospacing="0" w:line="324" w:lineRule="atLeast"/>
            </w:pPr>
            <w:r>
              <w:t>HEVC/H.265, H.264/AVC, MPEG-2</w:t>
            </w:r>
          </w:p>
        </w:tc>
      </w:tr>
      <w:tr w14:paraId="11A20C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3" w:hRule="atLeast"/>
          <w:tblCellSpacing w:w="0" w:type="dxa"/>
        </w:trPr>
        <w:tc>
          <w:tcPr>
            <w:tcW w:w="0" w:type="auto"/>
            <w:vMerge w:val="continue"/>
            <w:shd w:val="clear" w:color="auto" w:fill="auto"/>
            <w:vAlign w:val="center"/>
          </w:tcPr>
          <w:p w14:paraId="51E7D65B">
            <w:pPr>
              <w:jc w:val="left"/>
              <w:rPr>
                <w:rFonts w:ascii="宋体"/>
                <w:sz w:val="24"/>
                <w:szCs w:val="24"/>
              </w:rPr>
            </w:pPr>
          </w:p>
        </w:tc>
        <w:tc>
          <w:tcPr>
            <w:tcW w:w="0" w:type="auto"/>
            <w:shd w:val="clear" w:color="auto" w:fill="auto"/>
            <w:vAlign w:val="center"/>
          </w:tcPr>
          <w:p w14:paraId="21A7AA1C">
            <w:pPr>
              <w:pStyle w:val="6"/>
              <w:widowControl/>
              <w:spacing w:beforeAutospacing="0" w:afterAutospacing="0" w:line="324" w:lineRule="atLeast"/>
            </w:pPr>
            <w:r>
              <w:t>Audio</w:t>
            </w:r>
          </w:p>
        </w:tc>
        <w:tc>
          <w:tcPr>
            <w:tcW w:w="0" w:type="auto"/>
            <w:shd w:val="clear" w:color="auto" w:fill="auto"/>
            <w:vAlign w:val="center"/>
          </w:tcPr>
          <w:p w14:paraId="2E56D679">
            <w:pPr>
              <w:pStyle w:val="6"/>
              <w:widowControl/>
              <w:spacing w:beforeAutospacing="0" w:afterAutospacing="0" w:line="324" w:lineRule="atLeast"/>
            </w:pPr>
            <w:r>
              <w:t>MPEG-1/2 Layer 1/2, (HE-)AAC</w:t>
            </w:r>
          </w:p>
        </w:tc>
      </w:tr>
      <w:tr w14:paraId="52C7AA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2A8056">
            <w:pPr>
              <w:jc w:val="left"/>
              <w:rPr>
                <w:rFonts w:ascii="宋体"/>
                <w:sz w:val="24"/>
                <w:szCs w:val="24"/>
              </w:rPr>
            </w:pPr>
          </w:p>
        </w:tc>
        <w:tc>
          <w:tcPr>
            <w:tcW w:w="0" w:type="auto"/>
            <w:shd w:val="clear" w:color="auto" w:fill="auto"/>
            <w:vAlign w:val="center"/>
          </w:tcPr>
          <w:p w14:paraId="22D74777">
            <w:pPr>
              <w:widowControl/>
              <w:spacing w:line="324" w:lineRule="atLeast"/>
              <w:jc w:val="left"/>
            </w:pPr>
            <w:r>
              <w:rPr>
                <w:rFonts w:ascii="宋体" w:hAnsi="宋体" w:eastAsia="宋体" w:cs="宋体"/>
                <w:kern w:val="0"/>
                <w:sz w:val="24"/>
                <w:szCs w:val="24"/>
              </w:rPr>
              <w:t>Audio Channel</w:t>
            </w:r>
          </w:p>
        </w:tc>
        <w:tc>
          <w:tcPr>
            <w:tcW w:w="0" w:type="auto"/>
            <w:shd w:val="clear" w:color="auto" w:fill="auto"/>
            <w:vAlign w:val="center"/>
          </w:tcPr>
          <w:p w14:paraId="7A8AC243">
            <w:pPr>
              <w:pStyle w:val="6"/>
              <w:widowControl/>
              <w:spacing w:beforeAutospacing="0" w:afterAutospacing="0" w:line="324" w:lineRule="atLeast"/>
            </w:pPr>
            <w:r>
              <w:t>Mono L, Mono R, Mono L+R</w:t>
            </w:r>
          </w:p>
          <w:p w14:paraId="0194CD88">
            <w:pPr>
              <w:pStyle w:val="6"/>
              <w:widowControl/>
              <w:spacing w:beforeAutospacing="0" w:afterAutospacing="0" w:line="324" w:lineRule="atLeast"/>
            </w:pPr>
            <w:r>
              <w:t>A2 Dual Mono (L, R), A2 Stereo</w:t>
            </w:r>
          </w:p>
          <w:p w14:paraId="4F08A9EC">
            <w:pPr>
              <w:pStyle w:val="6"/>
              <w:widowControl/>
              <w:spacing w:beforeAutospacing="0" w:afterAutospacing="0" w:line="324" w:lineRule="atLeast"/>
            </w:pPr>
            <w:r>
              <w:t>NICAM Dual Mono (L, R), NICAM Stereo</w:t>
            </w:r>
          </w:p>
          <w:p w14:paraId="50BE795E">
            <w:pPr>
              <w:pStyle w:val="6"/>
              <w:widowControl/>
              <w:spacing w:beforeAutospacing="0" w:afterAutospacing="0" w:line="324" w:lineRule="atLeast"/>
            </w:pPr>
            <w:r>
              <w:rPr>
                <w:color w:val="FF0000"/>
              </w:rPr>
              <w:t>(Note: when applying dual audio, one TV program with dual audio will occupy 2 frequencies, which means the total output channels will reduce respectively.)</w:t>
            </w:r>
          </w:p>
        </w:tc>
      </w:tr>
      <w:tr w14:paraId="46AEF4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3" w:hRule="atLeast"/>
          <w:tblCellSpacing w:w="0" w:type="dxa"/>
        </w:trPr>
        <w:tc>
          <w:tcPr>
            <w:tcW w:w="0" w:type="auto"/>
            <w:vMerge w:val="continue"/>
            <w:shd w:val="clear" w:color="auto" w:fill="auto"/>
            <w:vAlign w:val="center"/>
          </w:tcPr>
          <w:p w14:paraId="3ADC3D07">
            <w:pPr>
              <w:jc w:val="left"/>
              <w:rPr>
                <w:rFonts w:ascii="宋体"/>
                <w:sz w:val="24"/>
                <w:szCs w:val="24"/>
              </w:rPr>
            </w:pPr>
          </w:p>
        </w:tc>
        <w:tc>
          <w:tcPr>
            <w:tcW w:w="0" w:type="auto"/>
            <w:shd w:val="clear" w:color="auto" w:fill="auto"/>
            <w:vAlign w:val="center"/>
          </w:tcPr>
          <w:p w14:paraId="498F70B1">
            <w:pPr>
              <w:pStyle w:val="6"/>
              <w:widowControl/>
              <w:spacing w:beforeAutospacing="0" w:afterAutospacing="0" w:line="324" w:lineRule="atLeast"/>
            </w:pPr>
            <w:r>
              <w:t>Data</w:t>
            </w:r>
          </w:p>
        </w:tc>
        <w:tc>
          <w:tcPr>
            <w:tcW w:w="0" w:type="auto"/>
            <w:shd w:val="clear" w:color="auto" w:fill="auto"/>
            <w:vAlign w:val="center"/>
          </w:tcPr>
          <w:p w14:paraId="3531592F">
            <w:pPr>
              <w:pStyle w:val="6"/>
              <w:widowControl/>
              <w:spacing w:beforeAutospacing="0" w:afterAutospacing="0" w:line="324" w:lineRule="atLeast"/>
            </w:pPr>
            <w:r>
              <w:t>CC, Teletext, Subtitles, DVB Subtitling</w:t>
            </w:r>
          </w:p>
        </w:tc>
      </w:tr>
      <w:tr w14:paraId="03BBC1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15" w:hRule="atLeast"/>
          <w:tblCellSpacing w:w="0" w:type="dxa"/>
        </w:trPr>
        <w:tc>
          <w:tcPr>
            <w:tcW w:w="0" w:type="auto"/>
            <w:vMerge w:val="continue"/>
            <w:shd w:val="clear" w:color="auto" w:fill="auto"/>
            <w:vAlign w:val="center"/>
          </w:tcPr>
          <w:p w14:paraId="4F6D0536">
            <w:pPr>
              <w:jc w:val="left"/>
              <w:rPr>
                <w:rFonts w:ascii="宋体"/>
                <w:sz w:val="24"/>
                <w:szCs w:val="24"/>
              </w:rPr>
            </w:pPr>
          </w:p>
        </w:tc>
        <w:tc>
          <w:tcPr>
            <w:tcW w:w="0" w:type="auto"/>
            <w:shd w:val="clear" w:color="auto" w:fill="auto"/>
            <w:vAlign w:val="center"/>
          </w:tcPr>
          <w:p w14:paraId="0BC32E0A">
            <w:pPr>
              <w:pStyle w:val="6"/>
              <w:widowControl/>
              <w:spacing w:beforeAutospacing="0" w:afterAutospacing="0" w:line="324" w:lineRule="atLeast"/>
            </w:pPr>
            <w:r>
              <w:t>Resolutions</w:t>
            </w:r>
          </w:p>
        </w:tc>
        <w:tc>
          <w:tcPr>
            <w:tcW w:w="0" w:type="auto"/>
            <w:shd w:val="clear" w:color="auto" w:fill="auto"/>
            <w:vAlign w:val="center"/>
          </w:tcPr>
          <w:p w14:paraId="6D67847B">
            <w:pPr>
              <w:pStyle w:val="6"/>
              <w:widowControl/>
              <w:spacing w:beforeAutospacing="0" w:afterAutospacing="0" w:line="324" w:lineRule="atLeast"/>
            </w:pPr>
            <w:r>
              <w:t>HEVC/H.265:  </w:t>
            </w:r>
          </w:p>
          <w:p w14:paraId="4B757766">
            <w:pPr>
              <w:pStyle w:val="6"/>
              <w:widowControl/>
              <w:spacing w:beforeAutospacing="0" w:afterAutospacing="0" w:line="324" w:lineRule="atLeast"/>
            </w:pPr>
            <w:r>
              <w:t>1080@60P, 1080@60I, 1080@50P, 1080@50I, 720@60P, 720@50P</w:t>
            </w:r>
          </w:p>
          <w:p w14:paraId="459AE9CC">
            <w:pPr>
              <w:pStyle w:val="6"/>
              <w:widowControl/>
              <w:spacing w:beforeAutospacing="0" w:afterAutospacing="0" w:line="324" w:lineRule="atLeast"/>
            </w:pPr>
            <w:r>
              <w:t>H.264/AVC:</w:t>
            </w:r>
          </w:p>
          <w:p w14:paraId="61CE246B">
            <w:pPr>
              <w:pStyle w:val="6"/>
              <w:widowControl/>
              <w:spacing w:beforeAutospacing="0" w:afterAutospacing="0" w:line="324" w:lineRule="atLeast"/>
            </w:pPr>
            <w:r>
              <w:t>1080@60I, 1080@50P, 1080@50I, 1080@30P, 1080@25P, 720@60P, 720@50P, 576@50I, 480@60I</w:t>
            </w:r>
          </w:p>
          <w:p w14:paraId="70BA3FCF">
            <w:pPr>
              <w:pStyle w:val="6"/>
              <w:widowControl/>
              <w:spacing w:beforeAutospacing="0" w:afterAutospacing="0" w:line="324" w:lineRule="atLeast"/>
            </w:pPr>
            <w:r>
              <w:t>MPEG2:</w:t>
            </w:r>
          </w:p>
          <w:p w14:paraId="057C1F2B">
            <w:pPr>
              <w:pStyle w:val="6"/>
              <w:widowControl/>
              <w:spacing w:beforeAutospacing="0" w:afterAutospacing="0" w:line="324" w:lineRule="atLeast"/>
            </w:pPr>
            <w:r>
              <w:t>1080@60I, 1080@50I, 720@60P, 720@50P, 576@50I, 480@60I</w:t>
            </w:r>
          </w:p>
        </w:tc>
      </w:tr>
      <w:tr w14:paraId="76066B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1" w:hRule="atLeast"/>
          <w:tblCellSpacing w:w="0" w:type="dxa"/>
        </w:trPr>
        <w:tc>
          <w:tcPr>
            <w:tcW w:w="0" w:type="auto"/>
            <w:vMerge w:val="continue"/>
            <w:shd w:val="clear" w:color="auto" w:fill="auto"/>
            <w:vAlign w:val="center"/>
          </w:tcPr>
          <w:p w14:paraId="1FDD5DA8">
            <w:pPr>
              <w:jc w:val="left"/>
              <w:rPr>
                <w:rFonts w:ascii="宋体"/>
                <w:sz w:val="24"/>
                <w:szCs w:val="24"/>
              </w:rPr>
            </w:pPr>
          </w:p>
        </w:tc>
        <w:tc>
          <w:tcPr>
            <w:tcW w:w="0" w:type="auto"/>
            <w:shd w:val="clear" w:color="auto" w:fill="auto"/>
            <w:vAlign w:val="center"/>
          </w:tcPr>
          <w:p w14:paraId="1E4AC6A8">
            <w:pPr>
              <w:pStyle w:val="6"/>
              <w:widowControl/>
              <w:spacing w:beforeAutospacing="0" w:afterAutospacing="0" w:line="324" w:lineRule="atLeast"/>
            </w:pPr>
            <w:r>
              <w:t>Aspect ratio</w:t>
            </w:r>
          </w:p>
        </w:tc>
        <w:tc>
          <w:tcPr>
            <w:tcW w:w="0" w:type="auto"/>
            <w:shd w:val="clear" w:color="auto" w:fill="auto"/>
            <w:vAlign w:val="center"/>
          </w:tcPr>
          <w:p w14:paraId="772870D5">
            <w:pPr>
              <w:pStyle w:val="6"/>
              <w:widowControl/>
              <w:spacing w:beforeAutospacing="0" w:afterAutospacing="0" w:line="324" w:lineRule="atLeast"/>
            </w:pPr>
            <w:r>
              <w:t>4:3</w:t>
            </w:r>
          </w:p>
        </w:tc>
      </w:tr>
      <w:tr w14:paraId="1C965E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75" w:hRule="atLeast"/>
          <w:tblCellSpacing w:w="0" w:type="dxa"/>
        </w:trPr>
        <w:tc>
          <w:tcPr>
            <w:tcW w:w="0" w:type="auto"/>
            <w:vMerge w:val="restart"/>
            <w:shd w:val="clear" w:color="auto" w:fill="auto"/>
            <w:vAlign w:val="center"/>
          </w:tcPr>
          <w:p w14:paraId="2F8629B2">
            <w:pPr>
              <w:pStyle w:val="6"/>
              <w:widowControl/>
              <w:spacing w:beforeAutospacing="0" w:afterAutospacing="0" w:line="324" w:lineRule="atLeast"/>
            </w:pPr>
            <w:r>
              <w:t>Modulation</w:t>
            </w:r>
          </w:p>
          <w:p w14:paraId="24CD25BC">
            <w:pPr>
              <w:pStyle w:val="6"/>
              <w:widowControl/>
              <w:spacing w:beforeAutospacing="0" w:afterAutospacing="0" w:line="324" w:lineRule="atLeast"/>
            </w:pPr>
            <w:r>
              <w:t>Parameters</w:t>
            </w:r>
          </w:p>
        </w:tc>
        <w:tc>
          <w:tcPr>
            <w:tcW w:w="0" w:type="auto"/>
            <w:shd w:val="clear" w:color="auto" w:fill="auto"/>
            <w:vAlign w:val="center"/>
          </w:tcPr>
          <w:p w14:paraId="300AFEE8">
            <w:pPr>
              <w:pStyle w:val="6"/>
              <w:widowControl/>
              <w:spacing w:beforeAutospacing="0" w:afterAutospacing="0" w:line="324" w:lineRule="atLeast"/>
            </w:pPr>
            <w:r>
              <w:t>Number of channels</w:t>
            </w:r>
          </w:p>
        </w:tc>
        <w:tc>
          <w:tcPr>
            <w:tcW w:w="0" w:type="auto"/>
            <w:shd w:val="clear" w:color="auto" w:fill="auto"/>
            <w:vAlign w:val="center"/>
          </w:tcPr>
          <w:p w14:paraId="3EDAFEF7">
            <w:pPr>
              <w:pStyle w:val="6"/>
              <w:widowControl/>
              <w:spacing w:beforeAutospacing="0" w:afterAutospacing="0" w:line="324" w:lineRule="atLeast"/>
            </w:pPr>
            <w:r>
              <w:t>32 (or 16/48/64) non-adjacent or adjacent carriers output</w:t>
            </w:r>
          </w:p>
        </w:tc>
      </w:tr>
      <w:tr w14:paraId="09F922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84" w:hRule="atLeast"/>
          <w:tblCellSpacing w:w="0" w:type="dxa"/>
        </w:trPr>
        <w:tc>
          <w:tcPr>
            <w:tcW w:w="0" w:type="auto"/>
            <w:vMerge w:val="continue"/>
            <w:shd w:val="clear" w:color="auto" w:fill="auto"/>
            <w:vAlign w:val="center"/>
          </w:tcPr>
          <w:p w14:paraId="5F1C1072">
            <w:pPr>
              <w:jc w:val="left"/>
              <w:rPr>
                <w:rFonts w:ascii="宋体"/>
                <w:sz w:val="24"/>
                <w:szCs w:val="24"/>
              </w:rPr>
            </w:pPr>
          </w:p>
        </w:tc>
        <w:tc>
          <w:tcPr>
            <w:tcW w:w="0" w:type="auto"/>
            <w:shd w:val="clear" w:color="auto" w:fill="auto"/>
            <w:vAlign w:val="center"/>
          </w:tcPr>
          <w:p w14:paraId="3602BE13">
            <w:pPr>
              <w:pStyle w:val="6"/>
              <w:widowControl/>
              <w:spacing w:beforeAutospacing="0" w:afterAutospacing="0" w:line="324" w:lineRule="atLeast"/>
            </w:pPr>
            <w:r>
              <w:t>Connectors</w:t>
            </w:r>
          </w:p>
        </w:tc>
        <w:tc>
          <w:tcPr>
            <w:tcW w:w="0" w:type="auto"/>
            <w:shd w:val="clear" w:color="auto" w:fill="auto"/>
            <w:vAlign w:val="center"/>
          </w:tcPr>
          <w:p w14:paraId="713E19DC">
            <w:pPr>
              <w:pStyle w:val="6"/>
              <w:widowControl/>
              <w:spacing w:beforeAutospacing="0" w:afterAutospacing="0" w:line="324" w:lineRule="atLeast"/>
            </w:pPr>
            <w:r>
              <w:t>75Ω, F-jack</w:t>
            </w:r>
          </w:p>
        </w:tc>
      </w:tr>
      <w:tr w14:paraId="72244D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77" w:hRule="atLeast"/>
          <w:tblCellSpacing w:w="0" w:type="dxa"/>
        </w:trPr>
        <w:tc>
          <w:tcPr>
            <w:tcW w:w="0" w:type="auto"/>
            <w:vMerge w:val="continue"/>
            <w:shd w:val="clear" w:color="auto" w:fill="auto"/>
            <w:vAlign w:val="center"/>
          </w:tcPr>
          <w:p w14:paraId="579D254D">
            <w:pPr>
              <w:jc w:val="left"/>
              <w:rPr>
                <w:rFonts w:ascii="宋体"/>
                <w:sz w:val="24"/>
                <w:szCs w:val="24"/>
              </w:rPr>
            </w:pPr>
          </w:p>
        </w:tc>
        <w:tc>
          <w:tcPr>
            <w:tcW w:w="0" w:type="auto"/>
            <w:shd w:val="clear" w:color="auto" w:fill="auto"/>
            <w:vAlign w:val="center"/>
          </w:tcPr>
          <w:p w14:paraId="397D2C8F">
            <w:pPr>
              <w:pStyle w:val="6"/>
              <w:widowControl/>
              <w:spacing w:beforeAutospacing="0" w:afterAutospacing="0" w:line="324" w:lineRule="atLeast"/>
            </w:pPr>
            <w:r>
              <w:t>Frequency range</w:t>
            </w:r>
          </w:p>
        </w:tc>
        <w:tc>
          <w:tcPr>
            <w:tcW w:w="0" w:type="auto"/>
            <w:shd w:val="clear" w:color="auto" w:fill="auto"/>
            <w:vAlign w:val="center"/>
          </w:tcPr>
          <w:p w14:paraId="2E39AEE9">
            <w:pPr>
              <w:pStyle w:val="6"/>
              <w:widowControl/>
              <w:spacing w:beforeAutospacing="0" w:afterAutospacing="0" w:line="324" w:lineRule="atLeast"/>
            </w:pPr>
            <w:r>
              <w:t>43.25 – 951.252MHz</w:t>
            </w:r>
          </w:p>
        </w:tc>
      </w:tr>
      <w:tr w14:paraId="17AA73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77" w:hRule="atLeast"/>
          <w:tblCellSpacing w:w="0" w:type="dxa"/>
        </w:trPr>
        <w:tc>
          <w:tcPr>
            <w:tcW w:w="0" w:type="auto"/>
            <w:vMerge w:val="continue"/>
            <w:shd w:val="clear" w:color="auto" w:fill="auto"/>
            <w:vAlign w:val="center"/>
          </w:tcPr>
          <w:p w14:paraId="61378CDA">
            <w:pPr>
              <w:jc w:val="left"/>
              <w:rPr>
                <w:rFonts w:ascii="宋体"/>
                <w:sz w:val="24"/>
                <w:szCs w:val="24"/>
              </w:rPr>
            </w:pPr>
          </w:p>
        </w:tc>
        <w:tc>
          <w:tcPr>
            <w:tcW w:w="0" w:type="auto"/>
            <w:shd w:val="clear" w:color="auto" w:fill="auto"/>
            <w:vAlign w:val="center"/>
          </w:tcPr>
          <w:p w14:paraId="41F50001">
            <w:pPr>
              <w:pStyle w:val="6"/>
              <w:widowControl/>
              <w:spacing w:beforeAutospacing="0" w:afterAutospacing="0" w:line="324" w:lineRule="atLeast"/>
            </w:pPr>
            <w:r>
              <w:t>Output Bandwidth</w:t>
            </w:r>
          </w:p>
        </w:tc>
        <w:tc>
          <w:tcPr>
            <w:tcW w:w="0" w:type="auto"/>
            <w:shd w:val="clear" w:color="auto" w:fill="auto"/>
            <w:vAlign w:val="center"/>
          </w:tcPr>
          <w:p w14:paraId="618700BE">
            <w:pPr>
              <w:pStyle w:val="6"/>
              <w:widowControl/>
              <w:spacing w:beforeAutospacing="0" w:afterAutospacing="0" w:line="324" w:lineRule="atLeast"/>
            </w:pPr>
            <w:r>
              <w:t>400MHz</w:t>
            </w:r>
          </w:p>
        </w:tc>
      </w:tr>
      <w:tr w14:paraId="01D061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40" w:hRule="atLeast"/>
          <w:tblCellSpacing w:w="0" w:type="dxa"/>
        </w:trPr>
        <w:tc>
          <w:tcPr>
            <w:tcW w:w="0" w:type="auto"/>
            <w:vMerge w:val="continue"/>
            <w:shd w:val="clear" w:color="auto" w:fill="auto"/>
            <w:vAlign w:val="center"/>
          </w:tcPr>
          <w:p w14:paraId="57B1DA07">
            <w:pPr>
              <w:jc w:val="left"/>
              <w:rPr>
                <w:rFonts w:ascii="宋体"/>
                <w:sz w:val="24"/>
                <w:szCs w:val="24"/>
              </w:rPr>
            </w:pPr>
          </w:p>
        </w:tc>
        <w:tc>
          <w:tcPr>
            <w:tcW w:w="0" w:type="auto"/>
            <w:shd w:val="clear" w:color="auto" w:fill="auto"/>
            <w:vAlign w:val="center"/>
          </w:tcPr>
          <w:p w14:paraId="0B43E899">
            <w:pPr>
              <w:pStyle w:val="6"/>
              <w:widowControl/>
              <w:spacing w:beforeAutospacing="0" w:afterAutospacing="0" w:line="324" w:lineRule="atLeast"/>
            </w:pPr>
            <w:r>
              <w:t>Output level</w:t>
            </w:r>
          </w:p>
        </w:tc>
        <w:tc>
          <w:tcPr>
            <w:tcW w:w="0" w:type="auto"/>
            <w:shd w:val="clear" w:color="auto" w:fill="auto"/>
            <w:vAlign w:val="center"/>
          </w:tcPr>
          <w:p w14:paraId="19363233">
            <w:pPr>
              <w:pStyle w:val="6"/>
              <w:widowControl/>
              <w:spacing w:beforeAutospacing="0" w:afterAutospacing="0" w:line="324" w:lineRule="atLeast"/>
            </w:pPr>
            <w:r>
              <w:t>-5 ~ 2dBm (102 ~ 109dBμV)</w:t>
            </w:r>
          </w:p>
        </w:tc>
      </w:tr>
      <w:tr w14:paraId="4DDC64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40" w:hRule="atLeast"/>
          <w:tblCellSpacing w:w="0" w:type="dxa"/>
        </w:trPr>
        <w:tc>
          <w:tcPr>
            <w:tcW w:w="0" w:type="auto"/>
            <w:vMerge w:val="continue"/>
            <w:shd w:val="clear" w:color="auto" w:fill="auto"/>
            <w:vAlign w:val="center"/>
          </w:tcPr>
          <w:p w14:paraId="16E22522">
            <w:pPr>
              <w:jc w:val="left"/>
              <w:rPr>
                <w:rFonts w:ascii="宋体"/>
                <w:sz w:val="24"/>
                <w:szCs w:val="24"/>
              </w:rPr>
            </w:pPr>
          </w:p>
        </w:tc>
        <w:tc>
          <w:tcPr>
            <w:tcW w:w="0" w:type="auto"/>
            <w:shd w:val="clear" w:color="auto" w:fill="auto"/>
            <w:vAlign w:val="center"/>
          </w:tcPr>
          <w:p w14:paraId="07672F71">
            <w:pPr>
              <w:pStyle w:val="6"/>
              <w:widowControl/>
              <w:spacing w:beforeAutospacing="0" w:afterAutospacing="0" w:line="324" w:lineRule="atLeast"/>
            </w:pPr>
            <w:r>
              <w:t>Return loss</w:t>
            </w:r>
          </w:p>
        </w:tc>
        <w:tc>
          <w:tcPr>
            <w:tcW w:w="0" w:type="auto"/>
            <w:shd w:val="clear" w:color="auto" w:fill="auto"/>
            <w:vAlign w:val="center"/>
          </w:tcPr>
          <w:p w14:paraId="4F9E2CC1">
            <w:pPr>
              <w:pStyle w:val="6"/>
              <w:widowControl/>
              <w:spacing w:beforeAutospacing="0" w:afterAutospacing="0" w:line="324" w:lineRule="atLeast"/>
            </w:pPr>
            <w:r>
              <w:t>≥ 14dB</w:t>
            </w:r>
          </w:p>
        </w:tc>
      </w:tr>
      <w:tr w14:paraId="3E1EC1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40" w:hRule="atLeast"/>
          <w:tblCellSpacing w:w="0" w:type="dxa"/>
        </w:trPr>
        <w:tc>
          <w:tcPr>
            <w:tcW w:w="0" w:type="auto"/>
            <w:vMerge w:val="continue"/>
            <w:shd w:val="clear" w:color="auto" w:fill="auto"/>
            <w:vAlign w:val="center"/>
          </w:tcPr>
          <w:p w14:paraId="55E59A42">
            <w:pPr>
              <w:jc w:val="left"/>
              <w:rPr>
                <w:rFonts w:ascii="宋体"/>
                <w:sz w:val="24"/>
                <w:szCs w:val="24"/>
              </w:rPr>
            </w:pPr>
          </w:p>
        </w:tc>
        <w:tc>
          <w:tcPr>
            <w:tcW w:w="0" w:type="auto"/>
            <w:shd w:val="clear" w:color="auto" w:fill="auto"/>
            <w:vAlign w:val="center"/>
          </w:tcPr>
          <w:p w14:paraId="4D5482D6">
            <w:pPr>
              <w:pStyle w:val="6"/>
              <w:widowControl/>
              <w:spacing w:beforeAutospacing="0" w:afterAutospacing="0" w:line="324" w:lineRule="atLeast"/>
            </w:pPr>
            <w:r>
              <w:t>Spurious frequency dist.</w:t>
            </w:r>
          </w:p>
        </w:tc>
        <w:tc>
          <w:tcPr>
            <w:tcW w:w="0" w:type="auto"/>
            <w:shd w:val="clear" w:color="auto" w:fill="auto"/>
            <w:vAlign w:val="center"/>
          </w:tcPr>
          <w:p w14:paraId="4C8FDBD1">
            <w:pPr>
              <w:pStyle w:val="6"/>
              <w:widowControl/>
              <w:spacing w:beforeAutospacing="0" w:afterAutospacing="0" w:line="324" w:lineRule="atLeast"/>
            </w:pPr>
            <w:r>
              <w:t>≥ 60dB</w:t>
            </w:r>
          </w:p>
        </w:tc>
      </w:tr>
      <w:tr w14:paraId="33C59A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46" w:hRule="atLeast"/>
          <w:tblCellSpacing w:w="0" w:type="dxa"/>
        </w:trPr>
        <w:tc>
          <w:tcPr>
            <w:tcW w:w="0" w:type="auto"/>
            <w:vMerge w:val="continue"/>
            <w:shd w:val="clear" w:color="auto" w:fill="auto"/>
            <w:vAlign w:val="center"/>
          </w:tcPr>
          <w:p w14:paraId="37503D21">
            <w:pPr>
              <w:jc w:val="left"/>
              <w:rPr>
                <w:rFonts w:ascii="宋体"/>
                <w:sz w:val="24"/>
                <w:szCs w:val="24"/>
              </w:rPr>
            </w:pPr>
          </w:p>
        </w:tc>
        <w:tc>
          <w:tcPr>
            <w:tcW w:w="0" w:type="auto"/>
            <w:shd w:val="clear" w:color="auto" w:fill="auto"/>
            <w:vAlign w:val="center"/>
          </w:tcPr>
          <w:p w14:paraId="2A737FAF">
            <w:pPr>
              <w:pStyle w:val="6"/>
              <w:widowControl/>
              <w:spacing w:beforeAutospacing="0" w:afterAutospacing="0" w:line="324" w:lineRule="atLeast"/>
            </w:pPr>
            <w:r>
              <w:t>Residual carrier accuracy</w:t>
            </w:r>
          </w:p>
        </w:tc>
        <w:tc>
          <w:tcPr>
            <w:tcW w:w="0" w:type="auto"/>
            <w:shd w:val="clear" w:color="auto" w:fill="auto"/>
            <w:vAlign w:val="center"/>
          </w:tcPr>
          <w:p w14:paraId="5C3F1B50">
            <w:pPr>
              <w:pStyle w:val="6"/>
              <w:widowControl/>
              <w:spacing w:beforeAutospacing="0" w:afterAutospacing="0" w:line="324" w:lineRule="atLeast"/>
            </w:pPr>
            <w:r>
              <w:t>1%</w:t>
            </w:r>
          </w:p>
        </w:tc>
      </w:tr>
      <w:tr w14:paraId="00D422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40" w:hRule="atLeast"/>
          <w:tblCellSpacing w:w="0" w:type="dxa"/>
        </w:trPr>
        <w:tc>
          <w:tcPr>
            <w:tcW w:w="0" w:type="auto"/>
            <w:vMerge w:val="continue"/>
            <w:shd w:val="clear" w:color="auto" w:fill="auto"/>
            <w:vAlign w:val="center"/>
          </w:tcPr>
          <w:p w14:paraId="338A9726">
            <w:pPr>
              <w:jc w:val="left"/>
              <w:rPr>
                <w:rFonts w:ascii="宋体"/>
                <w:sz w:val="24"/>
                <w:szCs w:val="24"/>
              </w:rPr>
            </w:pPr>
          </w:p>
        </w:tc>
        <w:tc>
          <w:tcPr>
            <w:tcW w:w="0" w:type="auto"/>
            <w:shd w:val="clear" w:color="auto" w:fill="auto"/>
            <w:vAlign w:val="center"/>
          </w:tcPr>
          <w:p w14:paraId="4D37312E">
            <w:pPr>
              <w:pStyle w:val="6"/>
              <w:widowControl/>
              <w:spacing w:beforeAutospacing="0" w:afterAutospacing="0" w:line="324" w:lineRule="atLeast"/>
            </w:pPr>
            <w:r>
              <w:t>TV standard</w:t>
            </w:r>
          </w:p>
        </w:tc>
        <w:tc>
          <w:tcPr>
            <w:tcW w:w="0" w:type="auto"/>
            <w:shd w:val="clear" w:color="auto" w:fill="auto"/>
            <w:vAlign w:val="center"/>
          </w:tcPr>
          <w:p w14:paraId="63DBC2EF">
            <w:pPr>
              <w:pStyle w:val="6"/>
              <w:widowControl/>
              <w:spacing w:beforeAutospacing="0" w:afterAutospacing="0" w:line="324" w:lineRule="atLeast"/>
            </w:pPr>
            <w:r>
              <w:t>PAL B/G/D/K/M/N/I,</w:t>
            </w:r>
          </w:p>
          <w:p w14:paraId="78757E84">
            <w:pPr>
              <w:pStyle w:val="6"/>
              <w:widowControl/>
              <w:spacing w:beforeAutospacing="0" w:afterAutospacing="0" w:line="324" w:lineRule="atLeast"/>
            </w:pPr>
            <w:r>
              <w:t>NTSC M, SECAM</w:t>
            </w:r>
          </w:p>
        </w:tc>
      </w:tr>
      <w:tr w14:paraId="6BD348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40" w:hRule="atLeast"/>
          <w:tblCellSpacing w:w="0" w:type="dxa"/>
        </w:trPr>
        <w:tc>
          <w:tcPr>
            <w:tcW w:w="0" w:type="auto"/>
            <w:vMerge w:val="continue"/>
            <w:shd w:val="clear" w:color="auto" w:fill="auto"/>
            <w:vAlign w:val="center"/>
          </w:tcPr>
          <w:p w14:paraId="65B85EEF">
            <w:pPr>
              <w:jc w:val="left"/>
              <w:rPr>
                <w:rFonts w:ascii="宋体"/>
                <w:sz w:val="24"/>
                <w:szCs w:val="24"/>
              </w:rPr>
            </w:pPr>
          </w:p>
        </w:tc>
        <w:tc>
          <w:tcPr>
            <w:tcW w:w="0" w:type="auto"/>
            <w:shd w:val="clear" w:color="auto" w:fill="auto"/>
            <w:vAlign w:val="center"/>
          </w:tcPr>
          <w:p w14:paraId="03D6D770">
            <w:pPr>
              <w:pStyle w:val="6"/>
              <w:widowControl/>
              <w:spacing w:beforeAutospacing="0" w:afterAutospacing="0" w:line="324" w:lineRule="atLeast"/>
            </w:pPr>
            <w:r>
              <w:t>Video-signal to noise ratio</w:t>
            </w:r>
          </w:p>
        </w:tc>
        <w:tc>
          <w:tcPr>
            <w:tcW w:w="0" w:type="auto"/>
            <w:shd w:val="clear" w:color="auto" w:fill="auto"/>
            <w:vAlign w:val="center"/>
          </w:tcPr>
          <w:p w14:paraId="7EAF2376">
            <w:pPr>
              <w:pStyle w:val="6"/>
              <w:widowControl/>
              <w:spacing w:beforeAutospacing="0" w:afterAutospacing="0" w:line="324" w:lineRule="atLeast"/>
            </w:pPr>
            <w:r>
              <w:t>≥ 60dB</w:t>
            </w:r>
          </w:p>
        </w:tc>
      </w:tr>
      <w:tr w14:paraId="72F1A9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40" w:hRule="atLeast"/>
          <w:tblCellSpacing w:w="0" w:type="dxa"/>
        </w:trPr>
        <w:tc>
          <w:tcPr>
            <w:tcW w:w="0" w:type="auto"/>
            <w:vMerge w:val="continue"/>
            <w:shd w:val="clear" w:color="auto" w:fill="auto"/>
            <w:vAlign w:val="center"/>
          </w:tcPr>
          <w:p w14:paraId="786D2C0E">
            <w:pPr>
              <w:jc w:val="left"/>
              <w:rPr>
                <w:rFonts w:ascii="宋体"/>
                <w:sz w:val="24"/>
                <w:szCs w:val="24"/>
              </w:rPr>
            </w:pPr>
          </w:p>
        </w:tc>
        <w:tc>
          <w:tcPr>
            <w:tcW w:w="0" w:type="auto"/>
            <w:shd w:val="clear" w:color="auto" w:fill="auto"/>
            <w:vAlign w:val="center"/>
          </w:tcPr>
          <w:p w14:paraId="57B9ADDF">
            <w:pPr>
              <w:pStyle w:val="6"/>
              <w:widowControl/>
              <w:spacing w:beforeAutospacing="0" w:afterAutospacing="0" w:line="324" w:lineRule="atLeast"/>
            </w:pPr>
            <w:r>
              <w:t>Carrier to noise ratio</w:t>
            </w:r>
          </w:p>
        </w:tc>
        <w:tc>
          <w:tcPr>
            <w:tcW w:w="0" w:type="auto"/>
            <w:shd w:val="clear" w:color="auto" w:fill="auto"/>
            <w:vAlign w:val="center"/>
          </w:tcPr>
          <w:p w14:paraId="6E3472CB">
            <w:pPr>
              <w:pStyle w:val="6"/>
              <w:widowControl/>
              <w:spacing w:beforeAutospacing="0" w:afterAutospacing="0" w:line="324" w:lineRule="atLeast"/>
            </w:pPr>
            <w:r>
              <w:t>≥ 60dB (when single carrier on)</w:t>
            </w:r>
          </w:p>
          <w:p w14:paraId="6A7FB7F3">
            <w:pPr>
              <w:pStyle w:val="6"/>
              <w:widowControl/>
              <w:spacing w:beforeAutospacing="0" w:afterAutospacing="0" w:line="324" w:lineRule="atLeast"/>
            </w:pPr>
            <w:r>
              <w:t>≥ 55.5dB (when all 32 carriers on)</w:t>
            </w:r>
          </w:p>
        </w:tc>
      </w:tr>
      <w:tr w14:paraId="2C0554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40" w:hRule="atLeast"/>
          <w:tblCellSpacing w:w="0" w:type="dxa"/>
        </w:trPr>
        <w:tc>
          <w:tcPr>
            <w:tcW w:w="0" w:type="auto"/>
            <w:vMerge w:val="restart"/>
            <w:shd w:val="clear" w:color="auto" w:fill="auto"/>
            <w:vAlign w:val="center"/>
          </w:tcPr>
          <w:p w14:paraId="306BC292">
            <w:pPr>
              <w:pStyle w:val="6"/>
              <w:widowControl/>
              <w:spacing w:beforeAutospacing="0" w:afterAutospacing="0" w:line="324" w:lineRule="atLeast"/>
            </w:pPr>
            <w:r>
              <w:t>Network Interface</w:t>
            </w:r>
          </w:p>
        </w:tc>
        <w:tc>
          <w:tcPr>
            <w:tcW w:w="0" w:type="auto"/>
            <w:shd w:val="clear" w:color="auto" w:fill="auto"/>
            <w:vAlign w:val="center"/>
          </w:tcPr>
          <w:p w14:paraId="1CAD2845">
            <w:pPr>
              <w:pStyle w:val="6"/>
              <w:widowControl/>
              <w:spacing w:beforeAutospacing="0" w:afterAutospacing="0" w:line="324" w:lineRule="atLeast"/>
            </w:pPr>
            <w:r>
              <w:t>Management</w:t>
            </w:r>
          </w:p>
        </w:tc>
        <w:tc>
          <w:tcPr>
            <w:tcW w:w="0" w:type="auto"/>
            <w:shd w:val="clear" w:color="auto" w:fill="auto"/>
            <w:vAlign w:val="center"/>
          </w:tcPr>
          <w:p w14:paraId="4A9AB246">
            <w:pPr>
              <w:pStyle w:val="6"/>
              <w:widowControl/>
              <w:spacing w:beforeAutospacing="0" w:afterAutospacing="0" w:line="324" w:lineRule="atLeast"/>
            </w:pPr>
            <w:r>
              <w:t>1 x 100 Base-T Ethernet (RJ 45)</w:t>
            </w:r>
          </w:p>
        </w:tc>
      </w:tr>
      <w:tr w14:paraId="2AFF57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vMerge w:val="continue"/>
            <w:shd w:val="clear" w:color="auto" w:fill="auto"/>
            <w:vAlign w:val="center"/>
          </w:tcPr>
          <w:p w14:paraId="1E8638C1">
            <w:pPr>
              <w:jc w:val="left"/>
              <w:rPr>
                <w:rFonts w:ascii="宋体"/>
                <w:sz w:val="24"/>
                <w:szCs w:val="24"/>
              </w:rPr>
            </w:pPr>
          </w:p>
        </w:tc>
        <w:tc>
          <w:tcPr>
            <w:tcW w:w="0" w:type="auto"/>
            <w:shd w:val="clear" w:color="auto" w:fill="auto"/>
            <w:vAlign w:val="center"/>
          </w:tcPr>
          <w:p w14:paraId="44D606C7">
            <w:pPr>
              <w:pStyle w:val="6"/>
              <w:widowControl/>
              <w:spacing w:beforeAutospacing="0" w:afterAutospacing="0" w:line="324" w:lineRule="atLeast"/>
            </w:pPr>
            <w:r>
              <w:t>Data</w:t>
            </w:r>
          </w:p>
        </w:tc>
        <w:tc>
          <w:tcPr>
            <w:tcW w:w="0" w:type="auto"/>
            <w:shd w:val="clear" w:color="auto" w:fill="auto"/>
            <w:vAlign w:val="center"/>
          </w:tcPr>
          <w:p w14:paraId="59D88B39">
            <w:pPr>
              <w:pStyle w:val="6"/>
              <w:widowControl/>
              <w:spacing w:beforeAutospacing="0" w:afterAutospacing="0" w:line="324" w:lineRule="atLeast"/>
            </w:pPr>
            <w:r>
              <w:t>2 x 1000 Base-T Ethernet (RJ 45)</w:t>
            </w:r>
          </w:p>
        </w:tc>
      </w:tr>
      <w:tr w14:paraId="1118E0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3" w:hRule="atLeast"/>
          <w:tblCellSpacing w:w="0" w:type="dxa"/>
        </w:trPr>
        <w:tc>
          <w:tcPr>
            <w:tcW w:w="0" w:type="auto"/>
            <w:vMerge w:val="restart"/>
            <w:shd w:val="clear" w:color="auto" w:fill="auto"/>
            <w:vAlign w:val="center"/>
          </w:tcPr>
          <w:p w14:paraId="31291D7B">
            <w:pPr>
              <w:pStyle w:val="6"/>
              <w:widowControl/>
              <w:spacing w:beforeAutospacing="0" w:afterAutospacing="0" w:line="324" w:lineRule="atLeast"/>
            </w:pPr>
            <w:r>
              <w:t>Others</w:t>
            </w:r>
          </w:p>
        </w:tc>
        <w:tc>
          <w:tcPr>
            <w:tcW w:w="0" w:type="auto"/>
            <w:shd w:val="clear" w:color="auto" w:fill="auto"/>
            <w:vAlign w:val="center"/>
          </w:tcPr>
          <w:p w14:paraId="5910B83F">
            <w:pPr>
              <w:pStyle w:val="6"/>
              <w:widowControl/>
              <w:spacing w:beforeAutospacing="0" w:afterAutospacing="0" w:line="324" w:lineRule="atLeast"/>
            </w:pPr>
            <w:r>
              <w:t>Image resolution output</w:t>
            </w:r>
          </w:p>
        </w:tc>
        <w:tc>
          <w:tcPr>
            <w:tcW w:w="0" w:type="auto"/>
            <w:shd w:val="clear" w:color="auto" w:fill="auto"/>
            <w:vAlign w:val="center"/>
          </w:tcPr>
          <w:p w14:paraId="6ED4066C">
            <w:pPr>
              <w:pStyle w:val="6"/>
              <w:widowControl/>
              <w:spacing w:beforeAutospacing="0" w:afterAutospacing="0" w:line="324" w:lineRule="atLeast"/>
            </w:pPr>
            <w:r>
              <w:t>480i/576i</w:t>
            </w:r>
          </w:p>
        </w:tc>
      </w:tr>
      <w:tr w14:paraId="3D5A0E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CellSpacing w:w="0" w:type="dxa"/>
        </w:trPr>
        <w:tc>
          <w:tcPr>
            <w:tcW w:w="0" w:type="auto"/>
            <w:vMerge w:val="continue"/>
            <w:shd w:val="clear" w:color="auto" w:fill="auto"/>
            <w:vAlign w:val="center"/>
          </w:tcPr>
          <w:p w14:paraId="5EC81427">
            <w:pPr>
              <w:jc w:val="left"/>
              <w:rPr>
                <w:rFonts w:ascii="宋体"/>
                <w:sz w:val="24"/>
                <w:szCs w:val="24"/>
              </w:rPr>
            </w:pPr>
          </w:p>
        </w:tc>
        <w:tc>
          <w:tcPr>
            <w:tcW w:w="0" w:type="auto"/>
            <w:vMerge w:val="restart"/>
            <w:shd w:val="clear" w:color="auto" w:fill="auto"/>
            <w:vAlign w:val="center"/>
          </w:tcPr>
          <w:p w14:paraId="78EC2C67">
            <w:pPr>
              <w:pStyle w:val="6"/>
              <w:widowControl/>
              <w:spacing w:beforeAutospacing="0" w:afterAutospacing="0" w:line="324" w:lineRule="atLeast"/>
            </w:pPr>
            <w:r>
              <w:t>OSD</w:t>
            </w:r>
          </w:p>
        </w:tc>
        <w:tc>
          <w:tcPr>
            <w:tcW w:w="0" w:type="auto"/>
            <w:shd w:val="clear" w:color="auto" w:fill="auto"/>
            <w:vAlign w:val="center"/>
          </w:tcPr>
          <w:p w14:paraId="3388796E">
            <w:pPr>
              <w:pStyle w:val="6"/>
              <w:widowControl/>
              <w:spacing w:beforeAutospacing="0" w:afterAutospacing="0" w:line="324" w:lineRule="atLeast"/>
            </w:pPr>
            <w:r>
              <w:t>Logo : JPG, BMP, PNG</w:t>
            </w:r>
          </w:p>
        </w:tc>
      </w:tr>
      <w:tr w14:paraId="4D1268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CFB6C5E">
            <w:pPr>
              <w:jc w:val="left"/>
              <w:rPr>
                <w:rFonts w:ascii="宋体"/>
                <w:sz w:val="24"/>
                <w:szCs w:val="24"/>
              </w:rPr>
            </w:pPr>
          </w:p>
        </w:tc>
        <w:tc>
          <w:tcPr>
            <w:tcW w:w="0" w:type="auto"/>
            <w:vMerge w:val="continue"/>
            <w:shd w:val="clear" w:color="auto" w:fill="auto"/>
            <w:vAlign w:val="center"/>
          </w:tcPr>
          <w:p w14:paraId="1EA98CC5">
            <w:pPr>
              <w:jc w:val="left"/>
              <w:rPr>
                <w:rFonts w:ascii="宋体"/>
                <w:sz w:val="24"/>
                <w:szCs w:val="24"/>
              </w:rPr>
            </w:pPr>
          </w:p>
        </w:tc>
        <w:tc>
          <w:tcPr>
            <w:tcW w:w="0" w:type="auto"/>
            <w:shd w:val="clear" w:color="auto" w:fill="auto"/>
            <w:vAlign w:val="center"/>
          </w:tcPr>
          <w:p w14:paraId="0CC2BEA4">
            <w:pPr>
              <w:pStyle w:val="6"/>
              <w:widowControl/>
              <w:spacing w:beforeAutospacing="0" w:afterAutospacing="0" w:line="324" w:lineRule="atLeast"/>
            </w:pPr>
            <w:r>
              <w:t>Caption : support multiple languages, scrolling direction and speed customized</w:t>
            </w:r>
          </w:p>
        </w:tc>
      </w:tr>
      <w:tr w14:paraId="390446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blCellSpacing w:w="0" w:type="dxa"/>
        </w:trPr>
        <w:tc>
          <w:tcPr>
            <w:tcW w:w="0" w:type="auto"/>
            <w:vMerge w:val="continue"/>
            <w:shd w:val="clear" w:color="auto" w:fill="auto"/>
            <w:vAlign w:val="center"/>
          </w:tcPr>
          <w:p w14:paraId="5EAD5677">
            <w:pPr>
              <w:jc w:val="left"/>
              <w:rPr>
                <w:rFonts w:ascii="宋体"/>
                <w:sz w:val="24"/>
                <w:szCs w:val="24"/>
              </w:rPr>
            </w:pPr>
          </w:p>
        </w:tc>
        <w:tc>
          <w:tcPr>
            <w:tcW w:w="0" w:type="auto"/>
            <w:shd w:val="clear" w:color="auto" w:fill="auto"/>
            <w:vAlign w:val="center"/>
          </w:tcPr>
          <w:p w14:paraId="330C5D99">
            <w:pPr>
              <w:pStyle w:val="6"/>
              <w:widowControl/>
              <w:spacing w:beforeAutospacing="0" w:afterAutospacing="0" w:line="324" w:lineRule="atLeast"/>
            </w:pPr>
            <w:r>
              <w:t>Output volume adjustment</w:t>
            </w:r>
          </w:p>
        </w:tc>
        <w:tc>
          <w:tcPr>
            <w:tcW w:w="0" w:type="auto"/>
            <w:shd w:val="clear" w:color="auto" w:fill="auto"/>
            <w:vAlign w:val="center"/>
          </w:tcPr>
          <w:p w14:paraId="37745B8B">
            <w:pPr>
              <w:pStyle w:val="6"/>
              <w:widowControl/>
              <w:spacing w:beforeAutospacing="0" w:afterAutospacing="0" w:line="324" w:lineRule="atLeast"/>
            </w:pPr>
            <w:r>
              <w:t>0 - 100 %</w:t>
            </w:r>
          </w:p>
        </w:tc>
      </w:tr>
      <w:tr w14:paraId="012FDD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tblCellSpacing w:w="0" w:type="dxa"/>
        </w:trPr>
        <w:tc>
          <w:tcPr>
            <w:tcW w:w="0" w:type="auto"/>
            <w:vMerge w:val="restart"/>
            <w:shd w:val="clear" w:color="auto" w:fill="auto"/>
            <w:vAlign w:val="center"/>
          </w:tcPr>
          <w:p w14:paraId="5BED3BD2">
            <w:pPr>
              <w:pStyle w:val="6"/>
              <w:widowControl/>
              <w:spacing w:beforeAutospacing="0" w:afterAutospacing="0" w:line="324" w:lineRule="atLeast"/>
            </w:pPr>
            <w:r>
              <w:t>General</w:t>
            </w:r>
          </w:p>
        </w:tc>
        <w:tc>
          <w:tcPr>
            <w:tcW w:w="0" w:type="auto"/>
            <w:shd w:val="clear" w:color="auto" w:fill="auto"/>
            <w:vAlign w:val="center"/>
          </w:tcPr>
          <w:p w14:paraId="3C433D3E">
            <w:pPr>
              <w:pStyle w:val="6"/>
              <w:widowControl/>
              <w:spacing w:beforeAutospacing="0" w:afterAutospacing="0" w:line="324" w:lineRule="atLeast"/>
            </w:pPr>
            <w:r>
              <w:t>Demission</w:t>
            </w:r>
          </w:p>
        </w:tc>
        <w:tc>
          <w:tcPr>
            <w:tcW w:w="0" w:type="auto"/>
            <w:shd w:val="clear" w:color="auto" w:fill="auto"/>
            <w:vAlign w:val="center"/>
          </w:tcPr>
          <w:p w14:paraId="2CB09EFF">
            <w:pPr>
              <w:pStyle w:val="6"/>
              <w:widowControl/>
              <w:spacing w:beforeAutospacing="0" w:afterAutospacing="0" w:line="324" w:lineRule="atLeast"/>
            </w:pPr>
            <w:r>
              <w:t>483mm×330mm×44.5mm (1U)</w:t>
            </w:r>
          </w:p>
          <w:p w14:paraId="482F6F98">
            <w:pPr>
              <w:pStyle w:val="6"/>
              <w:widowControl/>
              <w:spacing w:beforeAutospacing="0" w:afterAutospacing="0" w:line="324" w:lineRule="atLeast"/>
            </w:pPr>
            <w:r>
              <w:t>483mm×330mm×88mm (2U)</w:t>
            </w:r>
          </w:p>
        </w:tc>
      </w:tr>
      <w:tr w14:paraId="09F1DC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tblCellSpacing w:w="0" w:type="dxa"/>
        </w:trPr>
        <w:tc>
          <w:tcPr>
            <w:tcW w:w="0" w:type="auto"/>
            <w:vMerge w:val="continue"/>
            <w:shd w:val="clear" w:color="auto" w:fill="auto"/>
            <w:vAlign w:val="center"/>
          </w:tcPr>
          <w:p w14:paraId="5C93E58C">
            <w:pPr>
              <w:jc w:val="left"/>
              <w:rPr>
                <w:rFonts w:ascii="宋体"/>
                <w:sz w:val="24"/>
                <w:szCs w:val="24"/>
              </w:rPr>
            </w:pPr>
          </w:p>
        </w:tc>
        <w:tc>
          <w:tcPr>
            <w:tcW w:w="0" w:type="auto"/>
            <w:shd w:val="clear" w:color="auto" w:fill="auto"/>
            <w:vAlign w:val="center"/>
          </w:tcPr>
          <w:p w14:paraId="3786AE57">
            <w:pPr>
              <w:pStyle w:val="6"/>
              <w:widowControl/>
              <w:spacing w:beforeAutospacing="0" w:afterAutospacing="0" w:line="324" w:lineRule="atLeast"/>
            </w:pPr>
            <w:r>
              <w:t>Temperature</w:t>
            </w:r>
          </w:p>
        </w:tc>
        <w:tc>
          <w:tcPr>
            <w:tcW w:w="0" w:type="auto"/>
            <w:shd w:val="clear" w:color="auto" w:fill="auto"/>
            <w:vAlign w:val="center"/>
          </w:tcPr>
          <w:p w14:paraId="795A9D6F">
            <w:pPr>
              <w:pStyle w:val="6"/>
              <w:widowControl/>
              <w:spacing w:beforeAutospacing="0" w:afterAutospacing="0" w:line="324" w:lineRule="atLeast"/>
            </w:pPr>
            <w:r>
              <w:t>0~45℃(operation), -20~80℃(storage)</w:t>
            </w:r>
          </w:p>
        </w:tc>
      </w:tr>
      <w:tr w14:paraId="436F38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tblCellSpacing w:w="0" w:type="dxa"/>
        </w:trPr>
        <w:tc>
          <w:tcPr>
            <w:tcW w:w="0" w:type="auto"/>
            <w:vMerge w:val="continue"/>
            <w:shd w:val="clear" w:color="auto" w:fill="auto"/>
            <w:vAlign w:val="center"/>
          </w:tcPr>
          <w:p w14:paraId="2119C131">
            <w:pPr>
              <w:jc w:val="left"/>
              <w:rPr>
                <w:rFonts w:ascii="宋体"/>
                <w:sz w:val="24"/>
                <w:szCs w:val="24"/>
              </w:rPr>
            </w:pPr>
          </w:p>
        </w:tc>
        <w:tc>
          <w:tcPr>
            <w:tcW w:w="0" w:type="auto"/>
            <w:shd w:val="clear" w:color="auto" w:fill="auto"/>
            <w:vAlign w:val="center"/>
          </w:tcPr>
          <w:p w14:paraId="4B8574F6">
            <w:pPr>
              <w:pStyle w:val="6"/>
              <w:widowControl/>
              <w:spacing w:beforeAutospacing="0" w:afterAutospacing="0" w:line="324" w:lineRule="atLeast"/>
            </w:pPr>
            <w:r>
              <w:t>Power Supply</w:t>
            </w:r>
          </w:p>
        </w:tc>
        <w:tc>
          <w:tcPr>
            <w:tcW w:w="0" w:type="auto"/>
            <w:shd w:val="clear" w:color="auto" w:fill="auto"/>
            <w:vAlign w:val="center"/>
          </w:tcPr>
          <w:p w14:paraId="00FFA3FA">
            <w:pPr>
              <w:pStyle w:val="6"/>
              <w:widowControl/>
              <w:spacing w:beforeAutospacing="0" w:afterAutospacing="0" w:line="324" w:lineRule="atLeast"/>
            </w:pPr>
            <w:r>
              <w:t>AC100V±10%, AC 220V±10%, 50/60Hz</w:t>
            </w:r>
          </w:p>
          <w:p w14:paraId="1A52398C">
            <w:pPr>
              <w:pStyle w:val="6"/>
              <w:widowControl/>
              <w:spacing w:beforeAutospacing="0" w:afterAutospacing="0" w:line="324" w:lineRule="atLeast"/>
            </w:pPr>
            <w:r>
              <w:t>Redundancy power supply (Optional)</w:t>
            </w:r>
          </w:p>
        </w:tc>
      </w:tr>
    </w:tbl>
    <w:p w14:paraId="12D5621D">
      <w:pPr>
        <w:pStyle w:val="6"/>
        <w:widowControl/>
        <w:spacing w:beforeAutospacing="0" w:afterAutospacing="0" w:line="324" w:lineRule="atLeast"/>
      </w:pPr>
      <w:r>
        <w:rPr>
          <w:rFonts w:ascii="Verdana" w:hAnsi="Verdana" w:cs="Verdana"/>
          <w:color w:val="333333"/>
          <w:sz w:val="18"/>
          <w:szCs w:val="18"/>
          <w:shd w:val="clear" w:color="auto" w:fill="FEFCFD"/>
        </w:rPr>
        <w:t> </w:t>
      </w:r>
    </w:p>
    <w:p w14:paraId="1F30060F">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518"/>
        <w:gridCol w:w="8232"/>
      </w:tblGrid>
      <w:tr w14:paraId="01611D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shd w:val="clear" w:color="auto" w:fill="auto"/>
            <w:vAlign w:val="center"/>
          </w:tcPr>
          <w:p w14:paraId="6B5E6503">
            <w:pPr>
              <w:pStyle w:val="6"/>
              <w:widowControl/>
              <w:spacing w:beforeAutospacing="0" w:afterAutospacing="0" w:line="324" w:lineRule="atLeast"/>
            </w:pPr>
            <w:r>
              <w:rPr>
                <w:rStyle w:val="10"/>
              </w:rPr>
              <w:t>Options</w:t>
            </w:r>
          </w:p>
        </w:tc>
        <w:tc>
          <w:tcPr>
            <w:tcW w:w="0" w:type="auto"/>
            <w:shd w:val="clear" w:color="auto" w:fill="auto"/>
            <w:vAlign w:val="center"/>
          </w:tcPr>
          <w:p w14:paraId="28184AA3">
            <w:pPr>
              <w:pStyle w:val="6"/>
              <w:widowControl/>
              <w:spacing w:beforeAutospacing="0" w:afterAutospacing="0" w:line="324" w:lineRule="atLeast"/>
            </w:pPr>
            <w:r>
              <w:rPr>
                <w:rStyle w:val="10"/>
              </w:rPr>
              <w:t>Configuration</w:t>
            </w:r>
          </w:p>
        </w:tc>
      </w:tr>
      <w:tr w14:paraId="0DF9AD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shd w:val="clear" w:color="auto" w:fill="auto"/>
            <w:vAlign w:val="center"/>
          </w:tcPr>
          <w:p w14:paraId="743587C4">
            <w:pPr>
              <w:pStyle w:val="6"/>
              <w:widowControl/>
              <w:spacing w:beforeAutospacing="0" w:afterAutospacing="0" w:line="324" w:lineRule="atLeast"/>
            </w:pPr>
            <w:r>
              <w:t>Option 1</w:t>
            </w:r>
          </w:p>
        </w:tc>
        <w:tc>
          <w:tcPr>
            <w:tcW w:w="0" w:type="auto"/>
            <w:shd w:val="clear" w:color="auto" w:fill="auto"/>
            <w:vAlign w:val="center"/>
          </w:tcPr>
          <w:p w14:paraId="301AFE44">
            <w:pPr>
              <w:pStyle w:val="6"/>
              <w:widowControl/>
              <w:spacing w:beforeAutospacing="0" w:afterAutospacing="0" w:line="324" w:lineRule="atLeast"/>
            </w:pPr>
            <w:r>
              <w:t>16 or 32 IP input, 16 or 32 analog channel outputs</w:t>
            </w:r>
          </w:p>
        </w:tc>
      </w:tr>
      <w:tr w14:paraId="0A8AB3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shd w:val="clear" w:color="auto" w:fill="auto"/>
            <w:vAlign w:val="center"/>
          </w:tcPr>
          <w:p w14:paraId="07FF1553">
            <w:pPr>
              <w:pStyle w:val="6"/>
              <w:widowControl/>
              <w:spacing w:beforeAutospacing="0" w:afterAutospacing="0" w:line="324" w:lineRule="atLeast"/>
            </w:pPr>
            <w:r>
              <w:t>Option 2</w:t>
            </w:r>
          </w:p>
        </w:tc>
        <w:tc>
          <w:tcPr>
            <w:tcW w:w="0" w:type="auto"/>
            <w:shd w:val="clear" w:color="auto" w:fill="auto"/>
            <w:vAlign w:val="center"/>
          </w:tcPr>
          <w:p w14:paraId="37433127">
            <w:pPr>
              <w:pStyle w:val="6"/>
              <w:widowControl/>
              <w:spacing w:beforeAutospacing="0" w:afterAutospacing="0" w:line="324" w:lineRule="atLeast"/>
            </w:pPr>
            <w:r>
              <w:t>4 HDMI+28 IP input, 32 analog channel outputs</w:t>
            </w:r>
          </w:p>
        </w:tc>
      </w:tr>
      <w:tr w14:paraId="15C5F3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shd w:val="clear" w:color="auto" w:fill="auto"/>
            <w:vAlign w:val="center"/>
          </w:tcPr>
          <w:p w14:paraId="1DE54CCD">
            <w:pPr>
              <w:pStyle w:val="6"/>
              <w:widowControl/>
              <w:spacing w:beforeAutospacing="0" w:afterAutospacing="0" w:line="324" w:lineRule="atLeast"/>
            </w:pPr>
            <w:r>
              <w:t>Option 3</w:t>
            </w:r>
          </w:p>
        </w:tc>
        <w:tc>
          <w:tcPr>
            <w:tcW w:w="0" w:type="auto"/>
            <w:shd w:val="clear" w:color="auto" w:fill="auto"/>
            <w:vAlign w:val="center"/>
          </w:tcPr>
          <w:p w14:paraId="248B21DB">
            <w:pPr>
              <w:pStyle w:val="6"/>
              <w:widowControl/>
              <w:spacing w:beforeAutospacing="0" w:afterAutospacing="0" w:line="324" w:lineRule="atLeast"/>
            </w:pPr>
            <w:r>
              <w:t>8 HDMI+24 IP input, 32 analog channel outputs</w:t>
            </w:r>
          </w:p>
        </w:tc>
      </w:tr>
      <w:tr w14:paraId="70F53B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shd w:val="clear" w:color="auto" w:fill="auto"/>
            <w:vAlign w:val="center"/>
          </w:tcPr>
          <w:p w14:paraId="190D12E1">
            <w:pPr>
              <w:pStyle w:val="6"/>
              <w:widowControl/>
              <w:spacing w:beforeAutospacing="0" w:afterAutospacing="0" w:line="324" w:lineRule="atLeast"/>
            </w:pPr>
            <w:r>
              <w:t>Option 4</w:t>
            </w:r>
          </w:p>
        </w:tc>
        <w:tc>
          <w:tcPr>
            <w:tcW w:w="0" w:type="auto"/>
            <w:shd w:val="clear" w:color="auto" w:fill="auto"/>
            <w:vAlign w:val="center"/>
          </w:tcPr>
          <w:p w14:paraId="1A804CD4">
            <w:pPr>
              <w:pStyle w:val="6"/>
              <w:widowControl/>
              <w:spacing w:beforeAutospacing="0" w:afterAutospacing="0" w:line="324" w:lineRule="atLeast"/>
            </w:pPr>
            <w:r>
              <w:t>4 AV+28 IP input, 32 analog channel outputs</w:t>
            </w:r>
          </w:p>
        </w:tc>
      </w:tr>
      <w:tr w14:paraId="67EB1F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shd w:val="clear" w:color="auto" w:fill="auto"/>
            <w:vAlign w:val="center"/>
          </w:tcPr>
          <w:p w14:paraId="73477CB3">
            <w:pPr>
              <w:pStyle w:val="6"/>
              <w:widowControl/>
              <w:spacing w:beforeAutospacing="0" w:afterAutospacing="0" w:line="324" w:lineRule="atLeast"/>
            </w:pPr>
            <w:r>
              <w:t>Option 5</w:t>
            </w:r>
          </w:p>
        </w:tc>
        <w:tc>
          <w:tcPr>
            <w:tcW w:w="0" w:type="auto"/>
            <w:shd w:val="clear" w:color="auto" w:fill="auto"/>
            <w:vAlign w:val="center"/>
          </w:tcPr>
          <w:p w14:paraId="36E064BE">
            <w:pPr>
              <w:pStyle w:val="6"/>
              <w:widowControl/>
              <w:spacing w:beforeAutospacing="0" w:afterAutospacing="0" w:line="324" w:lineRule="atLeast"/>
            </w:pPr>
            <w:r>
              <w:t>8 AV+24 IP input, 32 analog channel outputs</w:t>
            </w:r>
          </w:p>
        </w:tc>
      </w:tr>
      <w:tr w14:paraId="123666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CellSpacing w:w="0" w:type="dxa"/>
        </w:trPr>
        <w:tc>
          <w:tcPr>
            <w:tcW w:w="0" w:type="auto"/>
            <w:shd w:val="clear" w:color="auto" w:fill="auto"/>
            <w:vAlign w:val="center"/>
          </w:tcPr>
          <w:p w14:paraId="21A9AF3B">
            <w:pPr>
              <w:pStyle w:val="6"/>
              <w:widowControl/>
              <w:spacing w:beforeAutospacing="0" w:afterAutospacing="0" w:line="324" w:lineRule="atLeast"/>
            </w:pPr>
            <w:r>
              <w:t>Option 6</w:t>
            </w:r>
          </w:p>
        </w:tc>
        <w:tc>
          <w:tcPr>
            <w:tcW w:w="0" w:type="auto"/>
            <w:shd w:val="clear" w:color="auto" w:fill="auto"/>
            <w:vAlign w:val="center"/>
          </w:tcPr>
          <w:p w14:paraId="4235B711">
            <w:pPr>
              <w:pStyle w:val="6"/>
              <w:widowControl/>
              <w:spacing w:beforeAutospacing="0" w:afterAutospacing="0" w:line="324" w:lineRule="atLeast"/>
            </w:pPr>
            <w:r>
              <w:t>48 or 64 IP input, 48 or 64 analog channel outputs</w:t>
            </w:r>
          </w:p>
        </w:tc>
      </w:tr>
    </w:tbl>
    <w:p w14:paraId="47C70EB1">
      <w:pPr>
        <w:pStyle w:val="6"/>
        <w:widowControl/>
        <w:spacing w:beforeAutospacing="0" w:afterAutospacing="0" w:line="324" w:lineRule="atLeast"/>
      </w:pPr>
      <w:r>
        <w:rPr>
          <w:rFonts w:ascii="Verdana" w:hAnsi="Verdana" w:cs="Verdana"/>
          <w:color w:val="333333"/>
          <w:sz w:val="18"/>
          <w:szCs w:val="18"/>
          <w:shd w:val="clear" w:color="auto" w:fill="FEFCFD"/>
        </w:rPr>
        <w:t> </w:t>
      </w:r>
    </w:p>
    <w:p w14:paraId="3788DE5F">
      <w:pPr>
        <w:pStyle w:val="6"/>
        <w:widowControl/>
        <w:spacing w:beforeAutospacing="0" w:afterAutospacing="0" w:line="324" w:lineRule="atLeast"/>
      </w:pPr>
      <w:r>
        <w:rPr>
          <w:rStyle w:val="10"/>
          <w:rFonts w:ascii="Verdana" w:hAnsi="Verdana" w:cs="Verdana"/>
          <w:color w:val="333333"/>
          <w:sz w:val="18"/>
          <w:szCs w:val="18"/>
          <w:shd w:val="clear" w:color="auto" w:fill="FEFCFD"/>
        </w:rPr>
        <w:t>System Construction Illustration</w:t>
      </w:r>
    </w:p>
    <w:p w14:paraId="691BB30C">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038850" cy="3362325"/>
            <wp:effectExtent l="0" t="0" r="0" b="9525"/>
            <wp:docPr id="10" name="图片 9" descr="IMG_264">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64"/>
                    <pic:cNvPicPr>
                      <a:picLocks noChangeAspect="1"/>
                    </pic:cNvPicPr>
                  </pic:nvPicPr>
                  <pic:blipFill>
                    <a:blip r:embed="rId24"/>
                    <a:stretch>
                      <a:fillRect/>
                    </a:stretch>
                  </pic:blipFill>
                  <pic:spPr>
                    <a:xfrm>
                      <a:off x="0" y="0"/>
                      <a:ext cx="6038850" cy="3362325"/>
                    </a:xfrm>
                    <a:prstGeom prst="rect">
                      <a:avLst/>
                    </a:prstGeom>
                    <a:noFill/>
                    <a:ln w="9525">
                      <a:noFill/>
                    </a:ln>
                  </pic:spPr>
                </pic:pic>
              </a:graphicData>
            </a:graphic>
          </wp:inline>
        </w:drawing>
      </w:r>
    </w:p>
    <w:p w14:paraId="5AF300FB">
      <w:pPr>
        <w:widowControl/>
        <w:shd w:val="clear" w:color="auto" w:fill="F2F2F4"/>
        <w:jc w:val="left"/>
        <w:rPr>
          <w:rFonts w:ascii="Verdana" w:hAnsi="Verdana" w:cs="Verdana"/>
          <w:color w:val="333333"/>
          <w:sz w:val="18"/>
          <w:szCs w:val="18"/>
        </w:rPr>
      </w:pPr>
    </w:p>
    <w:p w14:paraId="573DCED9">
      <w:pPr>
        <w:rPr>
          <w:rFonts w:ascii="Verdana" w:hAnsi="Verdana" w:cs="Verdana"/>
          <w:color w:val="000000"/>
          <w:sz w:val="28"/>
        </w:rPr>
      </w:pPr>
    </w:p>
    <w:p w14:paraId="00FC7ECE">
      <w:pPr>
        <w:rPr>
          <w:rFonts w:ascii="Verdana" w:hAnsi="Verdana" w:cs="Verdana"/>
          <w:b/>
          <w:color w:val="000000"/>
          <w:sz w:val="22"/>
        </w:rPr>
      </w:pPr>
      <w:r>
        <w:rPr>
          <w:rFonts w:hint="eastAsia" w:ascii="Verdana" w:hAnsi="Verdana" w:cs="Verdana"/>
          <w:b/>
          <w:color w:val="000000"/>
          <w:sz w:val="22"/>
        </w:rPr>
        <w:t>About Us</w:t>
      </w:r>
    </w:p>
    <w:p w14:paraId="1DFF8EEA">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263B32D">
      <w:pPr>
        <w:rPr>
          <w:rFonts w:ascii="Verdana" w:hAnsi="Verdana" w:cs="Verdana"/>
          <w:color w:val="000000"/>
          <w:sz w:val="18"/>
        </w:rPr>
      </w:pPr>
    </w:p>
    <w:p w14:paraId="208D450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1C8C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3EE3AE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843A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4A2D7F"/>
    <w:multiLevelType w:val="multilevel"/>
    <w:tmpl w:val="FE4A2D7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77B19"/>
    <w:rsid w:val="0049468E"/>
    <w:rsid w:val="00622ACE"/>
    <w:rsid w:val="00665764"/>
    <w:rsid w:val="00731840"/>
    <w:rsid w:val="007349B0"/>
    <w:rsid w:val="007359E2"/>
    <w:rsid w:val="0077681E"/>
    <w:rsid w:val="0089366C"/>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3803C5F"/>
    <w:rsid w:val="0A680B1B"/>
    <w:rsid w:val="0E714EC9"/>
    <w:rsid w:val="0EED2F97"/>
    <w:rsid w:val="0FC87CEA"/>
    <w:rsid w:val="101C4557"/>
    <w:rsid w:val="15C25510"/>
    <w:rsid w:val="15CC0C48"/>
    <w:rsid w:val="18AE427D"/>
    <w:rsid w:val="18E81EA3"/>
    <w:rsid w:val="1B974A15"/>
    <w:rsid w:val="1CDC4CA0"/>
    <w:rsid w:val="1FCC39C5"/>
    <w:rsid w:val="20F61905"/>
    <w:rsid w:val="2199682E"/>
    <w:rsid w:val="239E3C7B"/>
    <w:rsid w:val="2594244E"/>
    <w:rsid w:val="27B55639"/>
    <w:rsid w:val="299143D9"/>
    <w:rsid w:val="2A752F8B"/>
    <w:rsid w:val="2C2E7369"/>
    <w:rsid w:val="2C665CEA"/>
    <w:rsid w:val="2E0F6BE8"/>
    <w:rsid w:val="2ECE0D4F"/>
    <w:rsid w:val="314F3E41"/>
    <w:rsid w:val="31CE3781"/>
    <w:rsid w:val="3B533162"/>
    <w:rsid w:val="3CB672DA"/>
    <w:rsid w:val="3D042475"/>
    <w:rsid w:val="45872050"/>
    <w:rsid w:val="478E224E"/>
    <w:rsid w:val="485E04E5"/>
    <w:rsid w:val="487316FE"/>
    <w:rsid w:val="49B75FAC"/>
    <w:rsid w:val="4C0B1A2E"/>
    <w:rsid w:val="4E4A4BF6"/>
    <w:rsid w:val="4F8D25ED"/>
    <w:rsid w:val="51AD130D"/>
    <w:rsid w:val="540A3FAB"/>
    <w:rsid w:val="552A128C"/>
    <w:rsid w:val="562E484B"/>
    <w:rsid w:val="56834992"/>
    <w:rsid w:val="5930748A"/>
    <w:rsid w:val="59933671"/>
    <w:rsid w:val="5AA83521"/>
    <w:rsid w:val="5AD94A2D"/>
    <w:rsid w:val="5EEA5249"/>
    <w:rsid w:val="5FE23CFC"/>
    <w:rsid w:val="609213A6"/>
    <w:rsid w:val="61BA6334"/>
    <w:rsid w:val="63C27F07"/>
    <w:rsid w:val="6855696B"/>
    <w:rsid w:val="68AD6386"/>
    <w:rsid w:val="6D7A6503"/>
    <w:rsid w:val="70757613"/>
    <w:rsid w:val="70B756B4"/>
    <w:rsid w:val="73270F88"/>
    <w:rsid w:val="74455F31"/>
    <w:rsid w:val="74EF441D"/>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Analog%20Modulator/DSM2500C%2032in1%20ip%20to%20analog/3EEECN_20231129133931.png" TargetMode="External"/><Relationship Id="rId8" Type="http://schemas.openxmlformats.org/officeDocument/2006/relationships/image" Target="media/image3.jpeg"/><Relationship Id="rId7" Type="http://schemas.openxmlformats.org/officeDocument/2006/relationships/hyperlink" Target="https://english.dsdvb.com/Upload/images/Product/Analog%20Modulator/DSM2500C%2032in1%20ip%20to%20analog/3EEECN_20241210100408.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1.jpeg"/><Relationship Id="rId23" Type="http://schemas.openxmlformats.org/officeDocument/2006/relationships/hyperlink" Target="https://english.dsdvb.com/Upload/images/Product/Analog%20Modulator/DSM2500C%2032in1%20ip%20to%20analog/3EEECN_20210112070834.png" TargetMode="External"/><Relationship Id="rId22" Type="http://schemas.openxmlformats.org/officeDocument/2006/relationships/image" Target="media/image10.jpeg"/><Relationship Id="rId21" Type="http://schemas.openxmlformats.org/officeDocument/2006/relationships/hyperlink" Target="https://english.dsdvb.com/Upload/images/Product/Analog%20Modulator/DSM2500C%2032in1%20ip%20to%20analog/3EEECN_20200820065453.jpg" TargetMode="External"/><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hyperlink" Target="https://english.dsdvb.com/Upload/images/Product/Analog%20Modulator/DSM2500C%2032in1%20ip%20to%20analog/3EEECN_20201222065615.jpg" TargetMode="External"/><Relationship Id="rId18" Type="http://schemas.openxmlformats.org/officeDocument/2006/relationships/image" Target="media/image8.jpeg"/><Relationship Id="rId17" Type="http://schemas.openxmlformats.org/officeDocument/2006/relationships/hyperlink" Target="https://english.dsdvb.com/Upload/images/Product/Analog%20Modulator/DSM2500C%2032in1%20ip%20to%20analog/3EEECN_20201222065609.jpg" TargetMode="External"/><Relationship Id="rId16" Type="http://schemas.openxmlformats.org/officeDocument/2006/relationships/image" Target="media/image7.png"/><Relationship Id="rId15" Type="http://schemas.openxmlformats.org/officeDocument/2006/relationships/hyperlink" Target="https://english.dsdvb.com/Upload/images/Product/Analog%20Modulator/DSM2500C%2032in1%20ip%20to%20analog/3EEECN_20230404180030.png" TargetMode="External"/><Relationship Id="rId14" Type="http://schemas.openxmlformats.org/officeDocument/2006/relationships/image" Target="media/image6.png"/><Relationship Id="rId13" Type="http://schemas.openxmlformats.org/officeDocument/2006/relationships/hyperlink" Target="https://english.dsdvb.com/Upload/images/Product/Analog%20Modulator/DSM2500C%2032in1%20ip%20to%20analog/NICAM.BMP" TargetMode="External"/><Relationship Id="rId12" Type="http://schemas.openxmlformats.org/officeDocument/2006/relationships/image" Target="media/image5.png"/><Relationship Id="rId11" Type="http://schemas.openxmlformats.org/officeDocument/2006/relationships/hyperlink" Target="https://english.dsdvb.com/Upload/images/Product/Analog%20Modulator/DSM2500C%2032in1%20ip%20to%20analog/A2.BMP"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426</Words>
  <Characters>2392</Characters>
  <Lines>31</Lines>
  <Paragraphs>8</Paragraphs>
  <TotalTime>8</TotalTime>
  <ScaleCrop>false</ScaleCrop>
  <LinksUpToDate>false</LinksUpToDate>
  <CharactersWithSpaces>2869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2026-08-11T07:09:51Z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