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F8E107">
      <w:pPr>
        <w:pStyle w:val="6"/>
        <w:widowControl/>
        <w:spacing w:beforeAutospacing="0" w:afterAutospacing="0" w:line="324" w:lineRule="atLeast"/>
        <w:jc w:val="center"/>
      </w:pPr>
      <w:r>
        <w:rPr>
          <w:rFonts w:hint="eastAsia" w:ascii="Verdana" w:hAnsi="Verdana" w:cs="Verdana"/>
          <w:b/>
          <w:i w:val="0"/>
          <w:strike w:val="0"/>
          <w:color w:val="000000"/>
          <w:sz w:val="28"/>
          <w:lang w:eastAsia="zh-CN"/>
        </w:rPr>
        <w:t>FMUSER FUQ-2500E Agile Modulator 1×CVBS Video 1×L-R Audio Input 1×RF Output PAL-NTSC-SECAM Standards Configurable RF 47-870MHz Hotel Community</w:t>
      </w:r>
      <w:r>
        <w:rPr>
          <w:rFonts w:hint="eastAsia" w:ascii="Verdana" w:hAnsi="Verdana" w:cs="Verdana"/>
          <w:b/>
          <w:i w:val="0"/>
          <w:strike w:val="0"/>
          <w:color w:val="000000"/>
          <w:sz w:val="28"/>
          <w:lang w:val="en-US" w:eastAsia="zh-CN"/>
        </w:rPr>
        <w:t xml:space="preserve"> </w:t>
      </w:r>
      <w:r>
        <w:rPr>
          <w:rFonts w:hint="eastAsia" w:ascii="Verdana" w:hAnsi="Verdana" w:cs="Verdana"/>
          <w:b/>
          <w:i w:val="0"/>
          <w:strike w:val="0"/>
          <w:color w:val="000000"/>
          <w:sz w:val="28"/>
          <w:lang w:eastAsia="zh-CN"/>
        </w:rPr>
        <w:t xml:space="preserve">Entertainment </w:t>
      </w:r>
      <w:bookmarkStart w:id="0" w:name="_GoBack"/>
      <w:r>
        <w:rPr>
          <w:rFonts w:ascii="Verdana" w:hAnsi="Verdana" w:cs="Verdana"/>
          <w:color w:val="000000"/>
          <w:sz w:val="28"/>
        </w:rPr>
        <w:drawing>
          <wp:inline distT="0" distB="0" distL="114300" distR="114300">
            <wp:extent cx="6181725" cy="3400425"/>
            <wp:effectExtent l="0" t="0" r="9525" b="9525"/>
            <wp:docPr id="1" name="图片 1" descr="3EEECN_20181012050607"/>
            <wp:cNvGraphicFramePr/>
            <a:graphic xmlns:a="http://schemas.openxmlformats.org/drawingml/2006/main">
              <a:graphicData uri="http://schemas.openxmlformats.org/drawingml/2006/picture">
                <pic:pic xmlns:pic="http://schemas.openxmlformats.org/drawingml/2006/picture">
                  <pic:nvPicPr>
                    <pic:cNvPr id="1" name="图片 1" descr="3EEECN_20181012050607"/>
                    <pic:cNvPicPr/>
                  </pic:nvPicPr>
                  <pic:blipFill>
                    <a:blip r:embed="rId6"/>
                    <a:stretch>
                      <a:fillRect/>
                    </a:stretch>
                  </pic:blipFill>
                  <pic:spPr>
                    <a:xfrm>
                      <a:off x="0" y="0"/>
                      <a:ext cx="6181725" cy="3400425"/>
                    </a:xfrm>
                    <a:prstGeom prst="rect">
                      <a:avLst/>
                    </a:prstGeom>
                  </pic:spPr>
                </pic:pic>
              </a:graphicData>
            </a:graphic>
          </wp:inline>
        </w:drawing>
      </w:r>
      <w:bookmarkEnd w:id="0"/>
      <w:r>
        <w:rPr>
          <w:rStyle w:val="10"/>
          <w:rFonts w:hint="eastAsia" w:ascii="Verdana" w:hAnsi="Verdana" w:eastAsia="宋体" w:cs="Verdana"/>
          <w:color w:val="333333"/>
          <w:sz w:val="18"/>
          <w:szCs w:val="18"/>
          <w:shd w:val="clear" w:color="auto" w:fill="FEFCFD"/>
          <w:lang w:eastAsia="zh-CN"/>
        </w:rPr>
        <w:t>Product overview</w:t>
      </w:r>
    </w:p>
    <w:p w14:paraId="595475E6">
      <w:pPr>
        <w:pStyle w:val="6"/>
        <w:widowControl/>
        <w:spacing w:beforeAutospacing="0" w:afterAutospacing="0" w:line="324" w:lineRule="atLeast"/>
        <w:rPr>
          <w:rFonts w:hint="eastAsia"/>
        </w:rPr>
      </w:pPr>
      <w:r>
        <w:rPr>
          <w:rFonts w:hint="eastAsia"/>
        </w:rPr>
        <w:t>The FMUSER FUQ-2500E Agile Modulator offers RF modulation with 1 audio (L/R) and 1 video (CVBS) input, plus configurable RF output. It processes signals using video input AGC for stability. This unit features a 19-inch 1U rack-mount design and keyboard/LCD operation with online upgrade. Ideal for hotels, communities, and entertainment venues.</w:t>
      </w:r>
    </w:p>
    <w:p w14:paraId="12FB3E8D">
      <w:pPr>
        <w:pStyle w:val="6"/>
        <w:widowControl/>
        <w:spacing w:beforeAutospacing="0" w:afterAutospacing="0" w:line="324" w:lineRule="atLeast"/>
        <w:rPr>
          <w:rStyle w:val="10"/>
          <w:rFonts w:hint="eastAsia" w:ascii="Verdana" w:hAnsi="Verdana" w:eastAsia="宋体" w:cs="Verdana"/>
          <w:color w:val="333333"/>
          <w:sz w:val="18"/>
          <w:szCs w:val="18"/>
          <w:shd w:val="clear" w:color="auto" w:fill="FEFCFD"/>
        </w:rPr>
      </w:pPr>
      <w:r>
        <w:rPr>
          <w:rStyle w:val="10"/>
          <w:rFonts w:hint="eastAsia" w:ascii="Verdana" w:hAnsi="Verdana" w:eastAsia="宋体" w:cs="Verdana"/>
          <w:color w:val="333333"/>
          <w:sz w:val="18"/>
          <w:szCs w:val="18"/>
          <w:shd w:val="clear" w:color="auto" w:fill="FEFCFD"/>
        </w:rPr>
        <w:t>Key feature</w:t>
      </w:r>
    </w:p>
    <w:p w14:paraId="18F24AE5">
      <w:pPr>
        <w:pStyle w:val="6"/>
        <w:widowControl/>
        <w:spacing w:beforeAutospacing="0" w:afterAutospacing="0" w:line="324" w:lineRule="atLeast"/>
        <w:rPr>
          <w:rFonts w:hint="eastAsia"/>
        </w:rPr>
      </w:pPr>
      <w:r>
        <w:rPr>
          <w:rFonts w:hint="eastAsia"/>
        </w:rPr>
        <w:t xml:space="preserve">- Supports 1 audio (L/R) and 1 video (CVBS) input for versatile connectivity.  </w:t>
      </w:r>
    </w:p>
    <w:p w14:paraId="4ED4AA92">
      <w:pPr>
        <w:pStyle w:val="6"/>
        <w:widowControl/>
        <w:spacing w:beforeAutospacing="0" w:afterAutospacing="0" w:line="324" w:lineRule="atLeast"/>
        <w:rPr>
          <w:rFonts w:hint="eastAsia"/>
        </w:rPr>
      </w:pPr>
      <w:r>
        <w:rPr>
          <w:rFonts w:hint="eastAsia"/>
        </w:rPr>
        <w:t xml:space="preserve">- Configurable RF output (47-870MHz) with test port and ±5kHz accuracy.  </w:t>
      </w:r>
    </w:p>
    <w:p w14:paraId="08C99CF0">
      <w:pPr>
        <w:pStyle w:val="6"/>
        <w:widowControl/>
        <w:spacing w:beforeAutospacing="0" w:afterAutospacing="0" w:line="324" w:lineRule="atLeast"/>
        <w:rPr>
          <w:rFonts w:hint="eastAsia"/>
        </w:rPr>
      </w:pPr>
      <w:r>
        <w:rPr>
          <w:rFonts w:hint="eastAsia"/>
        </w:rPr>
        <w:t xml:space="preserve">- Features video input AGC and compatibility with PAL B/G, PAL D/K, NTSC, SECAM standards.  </w:t>
      </w:r>
    </w:p>
    <w:p w14:paraId="7BDAC928">
      <w:pPr>
        <w:pStyle w:val="6"/>
        <w:widowControl/>
        <w:spacing w:beforeAutospacing="0" w:afterAutospacing="0" w:line="324" w:lineRule="atLeast"/>
        <w:rPr>
          <w:rFonts w:hint="eastAsia"/>
        </w:rPr>
      </w:pPr>
      <w:r>
        <w:rPr>
          <w:rFonts w:hint="eastAsia"/>
        </w:rPr>
        <w:t xml:space="preserve">- Enables keyboard and LCD operation with online upgrade capability.  </w:t>
      </w:r>
    </w:p>
    <w:p w14:paraId="77CD1877">
      <w:pPr>
        <w:pStyle w:val="6"/>
        <w:widowControl/>
        <w:spacing w:beforeAutospacing="0" w:afterAutospacing="0" w:line="324" w:lineRule="atLeast"/>
      </w:pPr>
      <w:r>
        <w:rPr>
          <w:rFonts w:hint="eastAsia"/>
        </w:rPr>
        <w:t xml:space="preserve">- Integrates 19-inch 1U rack-mount design for easy installation.  </w:t>
      </w:r>
    </w:p>
    <w:p w14:paraId="223B1E68">
      <w:pPr>
        <w:pStyle w:val="6"/>
        <w:widowControl/>
        <w:spacing w:beforeAutospacing="0" w:afterAutospacing="0" w:line="324" w:lineRule="atLeast"/>
      </w:pPr>
      <w:r>
        <w:rPr>
          <w:rFonts w:ascii="Verdana" w:hAnsi="Verdana" w:cs="Verdana"/>
          <w:color w:val="333333"/>
          <w:sz w:val="18"/>
          <w:szCs w:val="18"/>
          <w:shd w:val="clear" w:color="auto" w:fill="FEFCFD"/>
        </w:rPr>
        <w:t> </w:t>
      </w:r>
    </w:p>
    <w:p w14:paraId="67020C70">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w:t>
      </w:r>
    </w:p>
    <w:p w14:paraId="4A10AB9A">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3820795"/>
            <wp:effectExtent l="0" t="0" r="3810" b="825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3820795"/>
                    </a:xfrm>
                    <a:prstGeom prst="rect">
                      <a:avLst/>
                    </a:prstGeom>
                    <a:noFill/>
                    <a:ln w="9525">
                      <a:noFill/>
                    </a:ln>
                  </pic:spPr>
                </pic:pic>
              </a:graphicData>
            </a:graphic>
          </wp:inline>
        </w:drawing>
      </w:r>
    </w:p>
    <w:p w14:paraId="43FC61AE">
      <w:pPr>
        <w:pStyle w:val="6"/>
        <w:widowControl/>
        <w:spacing w:beforeAutospacing="0" w:afterAutospacing="0" w:line="324" w:lineRule="atLeast"/>
      </w:pPr>
      <w:r>
        <w:rPr>
          <w:rFonts w:ascii="Verdana" w:hAnsi="Verdana" w:cs="Verdana"/>
          <w:color w:val="333333"/>
          <w:sz w:val="18"/>
          <w:szCs w:val="18"/>
          <w:shd w:val="clear" w:color="auto" w:fill="FEFCFD"/>
        </w:rPr>
        <w:t> </w:t>
      </w:r>
    </w:p>
    <w:p w14:paraId="20E155F9">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649"/>
        <w:gridCol w:w="2251"/>
        <w:gridCol w:w="1046"/>
        <w:gridCol w:w="4804"/>
      </w:tblGrid>
      <w:tr w14:paraId="7233F6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1560" w:type="dxa"/>
            <w:shd w:val="clear" w:color="auto" w:fill="auto"/>
            <w:vAlign w:val="center"/>
          </w:tcPr>
          <w:p w14:paraId="62A91CDC">
            <w:pPr>
              <w:pStyle w:val="6"/>
              <w:widowControl/>
              <w:spacing w:beforeAutospacing="0" w:afterAutospacing="0" w:line="324" w:lineRule="atLeast"/>
            </w:pPr>
            <w:r>
              <w:rPr>
                <w:rStyle w:val="10"/>
              </w:rPr>
              <w:t>Input</w:t>
            </w:r>
          </w:p>
        </w:tc>
        <w:tc>
          <w:tcPr>
            <w:tcW w:w="7650" w:type="dxa"/>
            <w:gridSpan w:val="3"/>
            <w:shd w:val="clear" w:color="auto" w:fill="auto"/>
            <w:vAlign w:val="center"/>
          </w:tcPr>
          <w:p w14:paraId="6EFBBFFA">
            <w:pPr>
              <w:pStyle w:val="6"/>
              <w:widowControl/>
              <w:spacing w:beforeAutospacing="0" w:afterAutospacing="0" w:line="324" w:lineRule="atLeast"/>
            </w:pPr>
            <w:r>
              <w:t>1* audio (L/R) input and 1*video (CVBS)</w:t>
            </w:r>
          </w:p>
        </w:tc>
      </w:tr>
      <w:tr w14:paraId="71FB9F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560" w:type="dxa"/>
            <w:vMerge w:val="restart"/>
            <w:shd w:val="clear" w:color="auto" w:fill="auto"/>
            <w:vAlign w:val="center"/>
          </w:tcPr>
          <w:p w14:paraId="43C071F9">
            <w:pPr>
              <w:pStyle w:val="6"/>
              <w:widowControl/>
              <w:spacing w:beforeAutospacing="0" w:afterAutospacing="0" w:line="324" w:lineRule="atLeast"/>
            </w:pPr>
            <w:r>
              <w:rPr>
                <w:rStyle w:val="10"/>
              </w:rPr>
              <w:t>Video</w:t>
            </w:r>
          </w:p>
        </w:tc>
        <w:tc>
          <w:tcPr>
            <w:tcW w:w="3120" w:type="dxa"/>
            <w:gridSpan w:val="2"/>
            <w:shd w:val="clear" w:color="auto" w:fill="auto"/>
            <w:vAlign w:val="center"/>
          </w:tcPr>
          <w:p w14:paraId="4E017DD2">
            <w:pPr>
              <w:pStyle w:val="6"/>
              <w:widowControl/>
              <w:spacing w:beforeAutospacing="0" w:afterAutospacing="0" w:line="324" w:lineRule="atLeast"/>
            </w:pPr>
            <w:r>
              <w:t>A/V ration</w:t>
            </w:r>
          </w:p>
        </w:tc>
        <w:tc>
          <w:tcPr>
            <w:tcW w:w="4530" w:type="dxa"/>
            <w:shd w:val="clear" w:color="auto" w:fill="auto"/>
            <w:vAlign w:val="center"/>
          </w:tcPr>
          <w:p w14:paraId="61F5A743">
            <w:pPr>
              <w:pStyle w:val="6"/>
              <w:widowControl/>
              <w:spacing w:beforeAutospacing="0" w:afterAutospacing="0" w:line="324" w:lineRule="atLeast"/>
            </w:pPr>
            <w:r>
              <w:t>-10~-20dB</w:t>
            </w:r>
          </w:p>
        </w:tc>
      </w:tr>
      <w:tr w14:paraId="287060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560" w:type="dxa"/>
            <w:vMerge w:val="continue"/>
            <w:shd w:val="clear" w:color="auto" w:fill="auto"/>
            <w:vAlign w:val="center"/>
          </w:tcPr>
          <w:p w14:paraId="44D18477">
            <w:pPr>
              <w:jc w:val="left"/>
              <w:rPr>
                <w:rFonts w:ascii="宋体"/>
                <w:sz w:val="24"/>
                <w:szCs w:val="24"/>
              </w:rPr>
            </w:pPr>
          </w:p>
        </w:tc>
        <w:tc>
          <w:tcPr>
            <w:tcW w:w="3120" w:type="dxa"/>
            <w:gridSpan w:val="2"/>
            <w:shd w:val="clear" w:color="auto" w:fill="auto"/>
            <w:vAlign w:val="center"/>
          </w:tcPr>
          <w:p w14:paraId="35C80096">
            <w:pPr>
              <w:pStyle w:val="6"/>
              <w:widowControl/>
              <w:spacing w:beforeAutospacing="0" w:afterAutospacing="0" w:line="324" w:lineRule="atLeast"/>
            </w:pPr>
            <w:r>
              <w:t>Input level</w:t>
            </w:r>
          </w:p>
        </w:tc>
        <w:tc>
          <w:tcPr>
            <w:tcW w:w="4530" w:type="dxa"/>
            <w:shd w:val="clear" w:color="auto" w:fill="auto"/>
            <w:vAlign w:val="center"/>
          </w:tcPr>
          <w:p w14:paraId="3303CA35">
            <w:pPr>
              <w:pStyle w:val="6"/>
              <w:widowControl/>
              <w:spacing w:beforeAutospacing="0" w:afterAutospacing="0" w:line="324" w:lineRule="atLeast"/>
            </w:pPr>
            <w:r>
              <w:t>1V</w:t>
            </w:r>
            <w:r>
              <w:rPr>
                <w:vertAlign w:val="subscript"/>
              </w:rPr>
              <w:t>PP</w:t>
            </w:r>
          </w:p>
        </w:tc>
      </w:tr>
      <w:tr w14:paraId="69F844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560" w:type="dxa"/>
            <w:vMerge w:val="continue"/>
            <w:shd w:val="clear" w:color="auto" w:fill="auto"/>
            <w:vAlign w:val="center"/>
          </w:tcPr>
          <w:p w14:paraId="39F45CB2">
            <w:pPr>
              <w:jc w:val="left"/>
              <w:rPr>
                <w:rFonts w:ascii="宋体"/>
                <w:sz w:val="24"/>
                <w:szCs w:val="24"/>
              </w:rPr>
            </w:pPr>
          </w:p>
        </w:tc>
        <w:tc>
          <w:tcPr>
            <w:tcW w:w="3120" w:type="dxa"/>
            <w:gridSpan w:val="2"/>
            <w:shd w:val="clear" w:color="auto" w:fill="auto"/>
            <w:vAlign w:val="center"/>
          </w:tcPr>
          <w:p w14:paraId="16A72CB5">
            <w:pPr>
              <w:pStyle w:val="6"/>
              <w:widowControl/>
              <w:spacing w:beforeAutospacing="0" w:afterAutospacing="0" w:line="324" w:lineRule="atLeast"/>
            </w:pPr>
            <w:r>
              <w:t>Video clamping capacity</w:t>
            </w:r>
          </w:p>
        </w:tc>
        <w:tc>
          <w:tcPr>
            <w:tcW w:w="4530" w:type="dxa"/>
            <w:shd w:val="clear" w:color="auto" w:fill="auto"/>
            <w:vAlign w:val="center"/>
          </w:tcPr>
          <w:p w14:paraId="537159AF">
            <w:pPr>
              <w:pStyle w:val="6"/>
              <w:widowControl/>
              <w:spacing w:beforeAutospacing="0" w:afterAutospacing="0" w:line="324" w:lineRule="atLeast"/>
            </w:pPr>
            <w:r>
              <w:t>≥26dB</w:t>
            </w:r>
          </w:p>
        </w:tc>
      </w:tr>
      <w:tr w14:paraId="5B4077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560" w:type="dxa"/>
            <w:vMerge w:val="continue"/>
            <w:shd w:val="clear" w:color="auto" w:fill="auto"/>
            <w:vAlign w:val="center"/>
          </w:tcPr>
          <w:p w14:paraId="3C7A5DF4">
            <w:pPr>
              <w:jc w:val="left"/>
              <w:rPr>
                <w:rFonts w:ascii="宋体"/>
                <w:sz w:val="24"/>
                <w:szCs w:val="24"/>
              </w:rPr>
            </w:pPr>
          </w:p>
        </w:tc>
        <w:tc>
          <w:tcPr>
            <w:tcW w:w="3120" w:type="dxa"/>
            <w:gridSpan w:val="2"/>
            <w:shd w:val="clear" w:color="auto" w:fill="auto"/>
            <w:vAlign w:val="center"/>
          </w:tcPr>
          <w:p w14:paraId="7D3D5354">
            <w:pPr>
              <w:pStyle w:val="6"/>
              <w:widowControl/>
              <w:spacing w:beforeAutospacing="0" w:afterAutospacing="0" w:line="324" w:lineRule="atLeast"/>
            </w:pPr>
            <w:r>
              <w:t>Color / light delay difference</w:t>
            </w:r>
          </w:p>
        </w:tc>
        <w:tc>
          <w:tcPr>
            <w:tcW w:w="4530" w:type="dxa"/>
            <w:shd w:val="clear" w:color="auto" w:fill="auto"/>
            <w:vAlign w:val="center"/>
          </w:tcPr>
          <w:p w14:paraId="0D43D726">
            <w:pPr>
              <w:pStyle w:val="6"/>
              <w:widowControl/>
              <w:spacing w:beforeAutospacing="0" w:afterAutospacing="0" w:line="324" w:lineRule="atLeast"/>
            </w:pPr>
            <w:r>
              <w:t>≤45nS</w:t>
            </w:r>
          </w:p>
        </w:tc>
      </w:tr>
      <w:tr w14:paraId="642C99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560" w:type="dxa"/>
            <w:vMerge w:val="continue"/>
            <w:shd w:val="clear" w:color="auto" w:fill="auto"/>
            <w:vAlign w:val="center"/>
          </w:tcPr>
          <w:p w14:paraId="2B3763E0">
            <w:pPr>
              <w:jc w:val="left"/>
              <w:rPr>
                <w:rFonts w:ascii="宋体"/>
                <w:sz w:val="24"/>
                <w:szCs w:val="24"/>
              </w:rPr>
            </w:pPr>
          </w:p>
        </w:tc>
        <w:tc>
          <w:tcPr>
            <w:tcW w:w="3120" w:type="dxa"/>
            <w:gridSpan w:val="2"/>
            <w:shd w:val="clear" w:color="auto" w:fill="auto"/>
            <w:vAlign w:val="center"/>
          </w:tcPr>
          <w:p w14:paraId="476BA652">
            <w:pPr>
              <w:pStyle w:val="6"/>
              <w:widowControl/>
              <w:spacing w:beforeAutospacing="0" w:afterAutospacing="0" w:line="324" w:lineRule="atLeast"/>
            </w:pPr>
            <w:r>
              <w:t>Differential gain</w:t>
            </w:r>
          </w:p>
        </w:tc>
        <w:tc>
          <w:tcPr>
            <w:tcW w:w="4530" w:type="dxa"/>
            <w:shd w:val="clear" w:color="auto" w:fill="auto"/>
            <w:vAlign w:val="center"/>
          </w:tcPr>
          <w:p w14:paraId="6AC2BFB0">
            <w:pPr>
              <w:pStyle w:val="6"/>
              <w:widowControl/>
              <w:spacing w:beforeAutospacing="0" w:afterAutospacing="0" w:line="324" w:lineRule="atLeast"/>
            </w:pPr>
            <w:r>
              <w:t>≤2% (Modulation 87.5%)</w:t>
            </w:r>
          </w:p>
        </w:tc>
      </w:tr>
      <w:tr w14:paraId="5CD866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560" w:type="dxa"/>
            <w:vMerge w:val="continue"/>
            <w:shd w:val="clear" w:color="auto" w:fill="auto"/>
            <w:vAlign w:val="center"/>
          </w:tcPr>
          <w:p w14:paraId="793C538C">
            <w:pPr>
              <w:jc w:val="left"/>
              <w:rPr>
                <w:rFonts w:ascii="宋体"/>
                <w:sz w:val="24"/>
                <w:szCs w:val="24"/>
              </w:rPr>
            </w:pPr>
          </w:p>
        </w:tc>
        <w:tc>
          <w:tcPr>
            <w:tcW w:w="3120" w:type="dxa"/>
            <w:gridSpan w:val="2"/>
            <w:shd w:val="clear" w:color="auto" w:fill="auto"/>
            <w:vAlign w:val="center"/>
          </w:tcPr>
          <w:p w14:paraId="4E771B62">
            <w:pPr>
              <w:pStyle w:val="6"/>
              <w:widowControl/>
              <w:spacing w:beforeAutospacing="0" w:afterAutospacing="0" w:line="324" w:lineRule="atLeast"/>
            </w:pPr>
            <w:r>
              <w:t>Differential phase</w:t>
            </w:r>
          </w:p>
        </w:tc>
        <w:tc>
          <w:tcPr>
            <w:tcW w:w="4530" w:type="dxa"/>
            <w:shd w:val="clear" w:color="auto" w:fill="auto"/>
            <w:vAlign w:val="center"/>
          </w:tcPr>
          <w:p w14:paraId="3B3D54B7">
            <w:pPr>
              <w:pStyle w:val="6"/>
              <w:widowControl/>
              <w:spacing w:beforeAutospacing="0" w:afterAutospacing="0" w:line="324" w:lineRule="atLeast"/>
            </w:pPr>
            <w:r>
              <w:t>≤2° (Modulation 87.5%)</w:t>
            </w:r>
          </w:p>
        </w:tc>
      </w:tr>
      <w:tr w14:paraId="56234E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560" w:type="dxa"/>
            <w:vMerge w:val="continue"/>
            <w:shd w:val="clear" w:color="auto" w:fill="auto"/>
            <w:vAlign w:val="center"/>
          </w:tcPr>
          <w:p w14:paraId="1638C804">
            <w:pPr>
              <w:jc w:val="left"/>
              <w:rPr>
                <w:rFonts w:ascii="宋体"/>
                <w:sz w:val="24"/>
                <w:szCs w:val="24"/>
              </w:rPr>
            </w:pPr>
          </w:p>
        </w:tc>
        <w:tc>
          <w:tcPr>
            <w:tcW w:w="3120" w:type="dxa"/>
            <w:gridSpan w:val="2"/>
            <w:shd w:val="clear" w:color="auto" w:fill="auto"/>
            <w:vAlign w:val="center"/>
          </w:tcPr>
          <w:p w14:paraId="2D531C6F">
            <w:pPr>
              <w:pStyle w:val="6"/>
              <w:widowControl/>
              <w:spacing w:beforeAutospacing="0" w:afterAutospacing="0" w:line="324" w:lineRule="atLeast"/>
            </w:pPr>
            <w:r>
              <w:t>SNR</w:t>
            </w:r>
          </w:p>
        </w:tc>
        <w:tc>
          <w:tcPr>
            <w:tcW w:w="4530" w:type="dxa"/>
            <w:shd w:val="clear" w:color="auto" w:fill="auto"/>
            <w:vAlign w:val="center"/>
          </w:tcPr>
          <w:p w14:paraId="5EF398AA">
            <w:pPr>
              <w:pStyle w:val="6"/>
              <w:widowControl/>
              <w:spacing w:beforeAutospacing="0" w:afterAutospacing="0" w:line="324" w:lineRule="atLeast"/>
            </w:pPr>
            <w:r>
              <w:t>≥50dB</w:t>
            </w:r>
          </w:p>
        </w:tc>
      </w:tr>
      <w:tr w14:paraId="14D747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560" w:type="dxa"/>
            <w:vMerge w:val="continue"/>
            <w:shd w:val="clear" w:color="auto" w:fill="auto"/>
            <w:vAlign w:val="center"/>
          </w:tcPr>
          <w:p w14:paraId="2A5A11FE">
            <w:pPr>
              <w:jc w:val="left"/>
              <w:rPr>
                <w:rFonts w:ascii="宋体"/>
                <w:sz w:val="24"/>
                <w:szCs w:val="24"/>
              </w:rPr>
            </w:pPr>
          </w:p>
        </w:tc>
        <w:tc>
          <w:tcPr>
            <w:tcW w:w="3120" w:type="dxa"/>
            <w:gridSpan w:val="2"/>
            <w:shd w:val="clear" w:color="auto" w:fill="auto"/>
            <w:vAlign w:val="center"/>
          </w:tcPr>
          <w:p w14:paraId="1A98BDD5">
            <w:pPr>
              <w:pStyle w:val="6"/>
              <w:widowControl/>
              <w:spacing w:beforeAutospacing="0" w:afterAutospacing="0" w:line="324" w:lineRule="atLeast"/>
            </w:pPr>
            <w:r>
              <w:t>Image carrier drift</w:t>
            </w:r>
          </w:p>
        </w:tc>
        <w:tc>
          <w:tcPr>
            <w:tcW w:w="4530" w:type="dxa"/>
            <w:shd w:val="clear" w:color="auto" w:fill="auto"/>
            <w:vAlign w:val="center"/>
          </w:tcPr>
          <w:p w14:paraId="20D6C7E0">
            <w:pPr>
              <w:pStyle w:val="6"/>
              <w:widowControl/>
              <w:spacing w:beforeAutospacing="0" w:afterAutospacing="0" w:line="324" w:lineRule="atLeast"/>
            </w:pPr>
            <w:r>
              <w:t>≤5kHz</w:t>
            </w:r>
          </w:p>
        </w:tc>
      </w:tr>
      <w:tr w14:paraId="21AA24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560" w:type="dxa"/>
            <w:vMerge w:val="continue"/>
            <w:shd w:val="clear" w:color="auto" w:fill="auto"/>
            <w:vAlign w:val="center"/>
          </w:tcPr>
          <w:p w14:paraId="44FBD7D0">
            <w:pPr>
              <w:jc w:val="left"/>
              <w:rPr>
                <w:rFonts w:ascii="宋体"/>
                <w:sz w:val="24"/>
                <w:szCs w:val="24"/>
              </w:rPr>
            </w:pPr>
          </w:p>
        </w:tc>
        <w:tc>
          <w:tcPr>
            <w:tcW w:w="3120" w:type="dxa"/>
            <w:gridSpan w:val="2"/>
            <w:shd w:val="clear" w:color="auto" w:fill="auto"/>
            <w:vAlign w:val="center"/>
          </w:tcPr>
          <w:p w14:paraId="3CB2BEE7">
            <w:pPr>
              <w:pStyle w:val="6"/>
              <w:widowControl/>
              <w:spacing w:beforeAutospacing="0" w:afterAutospacing="0" w:line="324" w:lineRule="atLeast"/>
            </w:pPr>
            <w:r>
              <w:t>2T-K impulse ratio</w:t>
            </w:r>
          </w:p>
        </w:tc>
        <w:tc>
          <w:tcPr>
            <w:tcW w:w="4530" w:type="dxa"/>
            <w:shd w:val="clear" w:color="auto" w:fill="auto"/>
            <w:vAlign w:val="center"/>
          </w:tcPr>
          <w:p w14:paraId="33F0CB1C">
            <w:pPr>
              <w:pStyle w:val="6"/>
              <w:widowControl/>
              <w:spacing w:beforeAutospacing="0" w:afterAutospacing="0" w:line="324" w:lineRule="atLeast"/>
            </w:pPr>
            <w:r>
              <w:t>≤4%</w:t>
            </w:r>
          </w:p>
        </w:tc>
      </w:tr>
      <w:tr w14:paraId="6FD387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560" w:type="dxa"/>
            <w:vMerge w:val="continue"/>
            <w:shd w:val="clear" w:color="auto" w:fill="auto"/>
            <w:vAlign w:val="center"/>
          </w:tcPr>
          <w:p w14:paraId="5E4B756B">
            <w:pPr>
              <w:jc w:val="left"/>
              <w:rPr>
                <w:rFonts w:ascii="宋体"/>
                <w:sz w:val="24"/>
                <w:szCs w:val="24"/>
              </w:rPr>
            </w:pPr>
          </w:p>
        </w:tc>
        <w:tc>
          <w:tcPr>
            <w:tcW w:w="3120" w:type="dxa"/>
            <w:gridSpan w:val="2"/>
            <w:shd w:val="clear" w:color="auto" w:fill="auto"/>
            <w:vAlign w:val="center"/>
          </w:tcPr>
          <w:p w14:paraId="2642DA37">
            <w:pPr>
              <w:pStyle w:val="6"/>
              <w:widowControl/>
              <w:spacing w:beforeAutospacing="0" w:afterAutospacing="0" w:line="324" w:lineRule="atLeast"/>
            </w:pPr>
            <w:r>
              <w:t>Flatness in band</w:t>
            </w:r>
          </w:p>
        </w:tc>
        <w:tc>
          <w:tcPr>
            <w:tcW w:w="4530" w:type="dxa"/>
            <w:shd w:val="clear" w:color="auto" w:fill="auto"/>
            <w:vAlign w:val="center"/>
          </w:tcPr>
          <w:p w14:paraId="79C047AA">
            <w:pPr>
              <w:pStyle w:val="6"/>
              <w:widowControl/>
              <w:spacing w:beforeAutospacing="0" w:afterAutospacing="0" w:line="324" w:lineRule="atLeast"/>
            </w:pPr>
            <w:r>
              <w:t>≤1dB</w:t>
            </w:r>
          </w:p>
        </w:tc>
      </w:tr>
      <w:tr w14:paraId="12F584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1560" w:type="dxa"/>
            <w:vMerge w:val="restart"/>
            <w:shd w:val="clear" w:color="auto" w:fill="auto"/>
            <w:vAlign w:val="center"/>
          </w:tcPr>
          <w:p w14:paraId="367D3675">
            <w:pPr>
              <w:pStyle w:val="6"/>
              <w:widowControl/>
              <w:spacing w:beforeAutospacing="0" w:afterAutospacing="0" w:line="324" w:lineRule="atLeast"/>
            </w:pPr>
            <w:r>
              <w:rPr>
                <w:rStyle w:val="10"/>
              </w:rPr>
              <w:t>Audio</w:t>
            </w:r>
          </w:p>
        </w:tc>
        <w:tc>
          <w:tcPr>
            <w:tcW w:w="3120" w:type="dxa"/>
            <w:gridSpan w:val="2"/>
            <w:shd w:val="clear" w:color="auto" w:fill="auto"/>
            <w:vAlign w:val="center"/>
          </w:tcPr>
          <w:p w14:paraId="424E0777">
            <w:pPr>
              <w:pStyle w:val="6"/>
              <w:widowControl/>
              <w:spacing w:beforeAutospacing="0" w:afterAutospacing="0" w:line="324" w:lineRule="atLeast"/>
            </w:pPr>
            <w:r>
              <w:t>Pre-emphasis of audio</w:t>
            </w:r>
          </w:p>
        </w:tc>
        <w:tc>
          <w:tcPr>
            <w:tcW w:w="4530" w:type="dxa"/>
            <w:shd w:val="clear" w:color="auto" w:fill="auto"/>
            <w:vAlign w:val="center"/>
          </w:tcPr>
          <w:p w14:paraId="7527F220">
            <w:pPr>
              <w:pStyle w:val="6"/>
              <w:widowControl/>
              <w:spacing w:beforeAutospacing="0" w:afterAutospacing="0" w:line="324" w:lineRule="atLeast"/>
            </w:pPr>
            <w:r>
              <w:t>50μs</w:t>
            </w:r>
          </w:p>
        </w:tc>
      </w:tr>
      <w:tr w14:paraId="428538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1560" w:type="dxa"/>
            <w:vMerge w:val="continue"/>
            <w:shd w:val="clear" w:color="auto" w:fill="auto"/>
            <w:vAlign w:val="center"/>
          </w:tcPr>
          <w:p w14:paraId="5671AE9B">
            <w:pPr>
              <w:jc w:val="left"/>
              <w:rPr>
                <w:rFonts w:ascii="宋体"/>
                <w:sz w:val="24"/>
                <w:szCs w:val="24"/>
              </w:rPr>
            </w:pPr>
          </w:p>
        </w:tc>
        <w:tc>
          <w:tcPr>
            <w:tcW w:w="3120" w:type="dxa"/>
            <w:gridSpan w:val="2"/>
            <w:shd w:val="clear" w:color="auto" w:fill="auto"/>
            <w:vAlign w:val="center"/>
          </w:tcPr>
          <w:p w14:paraId="3F6C9FDA">
            <w:pPr>
              <w:pStyle w:val="6"/>
              <w:widowControl/>
              <w:spacing w:beforeAutospacing="0" w:afterAutospacing="0" w:line="324" w:lineRule="atLeast"/>
            </w:pPr>
            <w:r>
              <w:t>Input level</w:t>
            </w:r>
          </w:p>
        </w:tc>
        <w:tc>
          <w:tcPr>
            <w:tcW w:w="4530" w:type="dxa"/>
            <w:shd w:val="clear" w:color="auto" w:fill="auto"/>
            <w:vAlign w:val="center"/>
          </w:tcPr>
          <w:p w14:paraId="1570700D">
            <w:pPr>
              <w:pStyle w:val="6"/>
              <w:widowControl/>
              <w:spacing w:beforeAutospacing="0" w:afterAutospacing="0" w:line="324" w:lineRule="atLeast"/>
            </w:pPr>
            <w:r>
              <w:t>0.7V</w:t>
            </w:r>
          </w:p>
        </w:tc>
      </w:tr>
      <w:tr w14:paraId="0E1051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60" w:type="dxa"/>
            <w:vMerge w:val="continue"/>
            <w:shd w:val="clear" w:color="auto" w:fill="auto"/>
            <w:vAlign w:val="center"/>
          </w:tcPr>
          <w:p w14:paraId="69BB627B">
            <w:pPr>
              <w:jc w:val="left"/>
              <w:rPr>
                <w:rFonts w:ascii="宋体"/>
                <w:sz w:val="24"/>
                <w:szCs w:val="24"/>
              </w:rPr>
            </w:pPr>
          </w:p>
        </w:tc>
        <w:tc>
          <w:tcPr>
            <w:tcW w:w="3120" w:type="dxa"/>
            <w:gridSpan w:val="2"/>
            <w:shd w:val="clear" w:color="auto" w:fill="auto"/>
            <w:vAlign w:val="center"/>
          </w:tcPr>
          <w:p w14:paraId="596D03C9">
            <w:pPr>
              <w:pStyle w:val="6"/>
              <w:widowControl/>
              <w:spacing w:beforeAutospacing="0" w:afterAutospacing="0" w:line="324" w:lineRule="atLeast"/>
            </w:pPr>
            <w:r>
              <w:t>SNR</w:t>
            </w:r>
          </w:p>
        </w:tc>
        <w:tc>
          <w:tcPr>
            <w:tcW w:w="4530" w:type="dxa"/>
            <w:shd w:val="clear" w:color="auto" w:fill="auto"/>
            <w:vAlign w:val="center"/>
          </w:tcPr>
          <w:p w14:paraId="4A257E81">
            <w:pPr>
              <w:pStyle w:val="6"/>
              <w:widowControl/>
              <w:spacing w:beforeAutospacing="0" w:afterAutospacing="0" w:line="324" w:lineRule="atLeast"/>
            </w:pPr>
            <w:r>
              <w:t>≥60dB</w:t>
            </w:r>
          </w:p>
        </w:tc>
      </w:tr>
      <w:tr w14:paraId="129370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60" w:type="dxa"/>
            <w:vMerge w:val="continue"/>
            <w:shd w:val="clear" w:color="auto" w:fill="auto"/>
            <w:vAlign w:val="center"/>
          </w:tcPr>
          <w:p w14:paraId="0DBA56C2">
            <w:pPr>
              <w:jc w:val="left"/>
              <w:rPr>
                <w:rFonts w:ascii="宋体"/>
                <w:sz w:val="24"/>
                <w:szCs w:val="24"/>
              </w:rPr>
            </w:pPr>
          </w:p>
        </w:tc>
        <w:tc>
          <w:tcPr>
            <w:tcW w:w="3120" w:type="dxa"/>
            <w:gridSpan w:val="2"/>
            <w:shd w:val="clear" w:color="auto" w:fill="auto"/>
            <w:vAlign w:val="center"/>
          </w:tcPr>
          <w:p w14:paraId="4602FFBB">
            <w:pPr>
              <w:pStyle w:val="6"/>
              <w:widowControl/>
              <w:spacing w:beforeAutospacing="0" w:afterAutospacing="0" w:line="324" w:lineRule="atLeast"/>
            </w:pPr>
            <w:r>
              <w:t>Flatness in band</w:t>
            </w:r>
          </w:p>
        </w:tc>
        <w:tc>
          <w:tcPr>
            <w:tcW w:w="4530" w:type="dxa"/>
            <w:shd w:val="clear" w:color="auto" w:fill="auto"/>
            <w:vAlign w:val="center"/>
          </w:tcPr>
          <w:p w14:paraId="11DC99F2">
            <w:pPr>
              <w:pStyle w:val="6"/>
              <w:widowControl/>
              <w:spacing w:beforeAutospacing="0" w:afterAutospacing="0" w:line="324" w:lineRule="atLeast"/>
            </w:pPr>
            <w:r>
              <w:t>≤1dB</w:t>
            </w:r>
          </w:p>
        </w:tc>
      </w:tr>
      <w:tr w14:paraId="6AC8DF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60" w:type="dxa"/>
            <w:vMerge w:val="continue"/>
            <w:shd w:val="clear" w:color="auto" w:fill="auto"/>
            <w:vAlign w:val="center"/>
          </w:tcPr>
          <w:p w14:paraId="502ABD9A">
            <w:pPr>
              <w:jc w:val="left"/>
              <w:rPr>
                <w:rFonts w:ascii="宋体"/>
                <w:sz w:val="24"/>
                <w:szCs w:val="24"/>
              </w:rPr>
            </w:pPr>
          </w:p>
        </w:tc>
        <w:tc>
          <w:tcPr>
            <w:tcW w:w="3120" w:type="dxa"/>
            <w:gridSpan w:val="2"/>
            <w:shd w:val="clear" w:color="auto" w:fill="auto"/>
            <w:vAlign w:val="center"/>
          </w:tcPr>
          <w:p w14:paraId="49D78E5C">
            <w:pPr>
              <w:pStyle w:val="6"/>
              <w:widowControl/>
              <w:spacing w:beforeAutospacing="0" w:afterAutospacing="0" w:line="324" w:lineRule="atLeast"/>
            </w:pPr>
            <w:r>
              <w:t>Distortion degree</w:t>
            </w:r>
          </w:p>
        </w:tc>
        <w:tc>
          <w:tcPr>
            <w:tcW w:w="4530" w:type="dxa"/>
            <w:shd w:val="clear" w:color="auto" w:fill="auto"/>
            <w:vAlign w:val="center"/>
          </w:tcPr>
          <w:p w14:paraId="71868CA3">
            <w:pPr>
              <w:pStyle w:val="6"/>
              <w:widowControl/>
              <w:spacing w:beforeAutospacing="0" w:afterAutospacing="0" w:line="324" w:lineRule="atLeast"/>
            </w:pPr>
            <w:r>
              <w:t>≤0.5%</w:t>
            </w:r>
          </w:p>
        </w:tc>
      </w:tr>
      <w:tr w14:paraId="55185A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60" w:type="dxa"/>
            <w:vMerge w:val="continue"/>
            <w:shd w:val="clear" w:color="auto" w:fill="auto"/>
            <w:vAlign w:val="center"/>
          </w:tcPr>
          <w:p w14:paraId="335944D4">
            <w:pPr>
              <w:jc w:val="left"/>
              <w:rPr>
                <w:rFonts w:ascii="宋体"/>
                <w:sz w:val="24"/>
                <w:szCs w:val="24"/>
              </w:rPr>
            </w:pPr>
          </w:p>
        </w:tc>
        <w:tc>
          <w:tcPr>
            <w:tcW w:w="3120" w:type="dxa"/>
            <w:gridSpan w:val="2"/>
            <w:shd w:val="clear" w:color="auto" w:fill="auto"/>
            <w:vAlign w:val="center"/>
          </w:tcPr>
          <w:p w14:paraId="0F85D656">
            <w:pPr>
              <w:pStyle w:val="6"/>
              <w:widowControl/>
              <w:spacing w:beforeAutospacing="0" w:afterAutospacing="0" w:line="324" w:lineRule="atLeast"/>
            </w:pPr>
            <w:r>
              <w:t>Audio modulation frequency offset</w:t>
            </w:r>
          </w:p>
        </w:tc>
        <w:tc>
          <w:tcPr>
            <w:tcW w:w="4530" w:type="dxa"/>
            <w:shd w:val="clear" w:color="auto" w:fill="auto"/>
            <w:vAlign w:val="center"/>
          </w:tcPr>
          <w:p w14:paraId="6DC30101">
            <w:pPr>
              <w:pStyle w:val="6"/>
              <w:widowControl/>
              <w:spacing w:beforeAutospacing="0" w:afterAutospacing="0" w:line="324" w:lineRule="atLeast"/>
            </w:pPr>
            <w:r>
              <w:t>± 50kHz</w:t>
            </w:r>
          </w:p>
        </w:tc>
      </w:tr>
      <w:tr w14:paraId="6138E3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60" w:type="dxa"/>
            <w:vMerge w:val="continue"/>
            <w:shd w:val="clear" w:color="auto" w:fill="auto"/>
            <w:vAlign w:val="center"/>
          </w:tcPr>
          <w:p w14:paraId="32667DBA">
            <w:pPr>
              <w:jc w:val="left"/>
              <w:rPr>
                <w:rFonts w:ascii="宋体"/>
                <w:sz w:val="24"/>
                <w:szCs w:val="24"/>
              </w:rPr>
            </w:pPr>
          </w:p>
        </w:tc>
        <w:tc>
          <w:tcPr>
            <w:tcW w:w="3120" w:type="dxa"/>
            <w:gridSpan w:val="2"/>
            <w:shd w:val="clear" w:color="auto" w:fill="auto"/>
            <w:vAlign w:val="center"/>
          </w:tcPr>
          <w:p w14:paraId="323790E6">
            <w:pPr>
              <w:pStyle w:val="6"/>
              <w:widowControl/>
              <w:spacing w:beforeAutospacing="0" w:afterAutospacing="0" w:line="324" w:lineRule="atLeast"/>
            </w:pPr>
            <w:r>
              <w:t>V/A interval</w:t>
            </w:r>
          </w:p>
        </w:tc>
        <w:tc>
          <w:tcPr>
            <w:tcW w:w="4530" w:type="dxa"/>
            <w:shd w:val="clear" w:color="auto" w:fill="auto"/>
            <w:vAlign w:val="center"/>
          </w:tcPr>
          <w:p w14:paraId="62922B32">
            <w:pPr>
              <w:pStyle w:val="6"/>
              <w:widowControl/>
              <w:spacing w:beforeAutospacing="0" w:afterAutospacing="0" w:line="324" w:lineRule="atLeast"/>
            </w:pPr>
            <w:r>
              <w:t>According to TV System standard</w:t>
            </w:r>
          </w:p>
        </w:tc>
      </w:tr>
      <w:tr w14:paraId="5CAC12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60" w:type="dxa"/>
            <w:vMerge w:val="restart"/>
            <w:shd w:val="clear" w:color="auto" w:fill="auto"/>
            <w:vAlign w:val="center"/>
          </w:tcPr>
          <w:p w14:paraId="544D30DF">
            <w:pPr>
              <w:pStyle w:val="6"/>
              <w:widowControl/>
              <w:spacing w:beforeAutospacing="0" w:afterAutospacing="0" w:line="324" w:lineRule="atLeast"/>
            </w:pPr>
            <w:r>
              <w:rPr>
                <w:rStyle w:val="10"/>
              </w:rPr>
              <w:t>RF Output</w:t>
            </w:r>
          </w:p>
        </w:tc>
        <w:tc>
          <w:tcPr>
            <w:tcW w:w="3120" w:type="dxa"/>
            <w:gridSpan w:val="2"/>
            <w:shd w:val="clear" w:color="auto" w:fill="auto"/>
            <w:vAlign w:val="center"/>
          </w:tcPr>
          <w:p w14:paraId="04AA9413">
            <w:pPr>
              <w:pStyle w:val="6"/>
              <w:widowControl/>
              <w:spacing w:beforeAutospacing="0" w:afterAutospacing="0" w:line="324" w:lineRule="atLeast"/>
            </w:pPr>
            <w:r>
              <w:t>Interface</w:t>
            </w:r>
          </w:p>
        </w:tc>
        <w:tc>
          <w:tcPr>
            <w:tcW w:w="4530" w:type="dxa"/>
            <w:shd w:val="clear" w:color="auto" w:fill="auto"/>
            <w:vAlign w:val="center"/>
          </w:tcPr>
          <w:p w14:paraId="3E8B1A6D">
            <w:pPr>
              <w:pStyle w:val="6"/>
              <w:widowControl/>
              <w:spacing w:beforeAutospacing="0" w:afterAutospacing="0" w:line="324" w:lineRule="atLeast"/>
            </w:pPr>
            <w:r>
              <w:t>1 F typed output port, 75Ω</w:t>
            </w:r>
          </w:p>
        </w:tc>
      </w:tr>
      <w:tr w14:paraId="5A4639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60" w:type="dxa"/>
            <w:vMerge w:val="continue"/>
            <w:shd w:val="clear" w:color="auto" w:fill="auto"/>
            <w:vAlign w:val="center"/>
          </w:tcPr>
          <w:p w14:paraId="4965CDEE">
            <w:pPr>
              <w:jc w:val="left"/>
              <w:rPr>
                <w:rFonts w:ascii="宋体"/>
                <w:sz w:val="24"/>
                <w:szCs w:val="24"/>
              </w:rPr>
            </w:pPr>
          </w:p>
        </w:tc>
        <w:tc>
          <w:tcPr>
            <w:tcW w:w="3120" w:type="dxa"/>
            <w:gridSpan w:val="2"/>
            <w:shd w:val="clear" w:color="auto" w:fill="auto"/>
            <w:vAlign w:val="center"/>
          </w:tcPr>
          <w:p w14:paraId="5F3802AB">
            <w:pPr>
              <w:pStyle w:val="6"/>
              <w:widowControl/>
              <w:spacing w:beforeAutospacing="0" w:afterAutospacing="0" w:line="324" w:lineRule="atLeast"/>
            </w:pPr>
            <w:r>
              <w:t>Frequency range</w:t>
            </w:r>
          </w:p>
        </w:tc>
        <w:tc>
          <w:tcPr>
            <w:tcW w:w="4530" w:type="dxa"/>
            <w:shd w:val="clear" w:color="auto" w:fill="auto"/>
            <w:vAlign w:val="center"/>
          </w:tcPr>
          <w:p w14:paraId="6CD3499B">
            <w:pPr>
              <w:pStyle w:val="6"/>
              <w:widowControl/>
              <w:spacing w:beforeAutospacing="0" w:afterAutospacing="0" w:line="324" w:lineRule="atLeast"/>
            </w:pPr>
            <w:r>
              <w:t>47~870MHz, 1kHz step</w:t>
            </w:r>
          </w:p>
        </w:tc>
      </w:tr>
      <w:tr w14:paraId="14F62D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60" w:type="dxa"/>
            <w:vMerge w:val="continue"/>
            <w:shd w:val="clear" w:color="auto" w:fill="auto"/>
            <w:vAlign w:val="center"/>
          </w:tcPr>
          <w:p w14:paraId="002D7FE9">
            <w:pPr>
              <w:jc w:val="left"/>
              <w:rPr>
                <w:rFonts w:ascii="宋体"/>
                <w:sz w:val="24"/>
                <w:szCs w:val="24"/>
              </w:rPr>
            </w:pPr>
          </w:p>
        </w:tc>
        <w:tc>
          <w:tcPr>
            <w:tcW w:w="3120" w:type="dxa"/>
            <w:gridSpan w:val="2"/>
            <w:shd w:val="clear" w:color="auto" w:fill="auto"/>
            <w:vAlign w:val="center"/>
          </w:tcPr>
          <w:p w14:paraId="4D070636">
            <w:pPr>
              <w:pStyle w:val="6"/>
              <w:widowControl/>
              <w:spacing w:beforeAutospacing="0" w:afterAutospacing="0" w:line="324" w:lineRule="atLeast"/>
            </w:pPr>
            <w:r>
              <w:t>TV system standard</w:t>
            </w:r>
          </w:p>
        </w:tc>
        <w:tc>
          <w:tcPr>
            <w:tcW w:w="4530" w:type="dxa"/>
            <w:shd w:val="clear" w:color="auto" w:fill="auto"/>
            <w:vAlign w:val="center"/>
          </w:tcPr>
          <w:p w14:paraId="28C48EC6">
            <w:pPr>
              <w:pStyle w:val="6"/>
              <w:widowControl/>
              <w:spacing w:beforeAutospacing="0" w:afterAutospacing="0" w:line="324" w:lineRule="atLeast"/>
            </w:pPr>
            <w:r>
              <w:t>PAL B/G, PAL D/K, NTSC, SECAM</w:t>
            </w:r>
          </w:p>
        </w:tc>
      </w:tr>
      <w:tr w14:paraId="08215E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60" w:type="dxa"/>
            <w:vMerge w:val="continue"/>
            <w:shd w:val="clear" w:color="auto" w:fill="auto"/>
            <w:vAlign w:val="center"/>
          </w:tcPr>
          <w:p w14:paraId="7C96B76B">
            <w:pPr>
              <w:jc w:val="left"/>
              <w:rPr>
                <w:rFonts w:ascii="宋体"/>
                <w:sz w:val="24"/>
                <w:szCs w:val="24"/>
              </w:rPr>
            </w:pPr>
          </w:p>
        </w:tc>
        <w:tc>
          <w:tcPr>
            <w:tcW w:w="3120" w:type="dxa"/>
            <w:gridSpan w:val="2"/>
            <w:shd w:val="clear" w:color="auto" w:fill="auto"/>
            <w:vAlign w:val="center"/>
          </w:tcPr>
          <w:p w14:paraId="1EF56BB9">
            <w:pPr>
              <w:pStyle w:val="6"/>
              <w:widowControl/>
              <w:spacing w:beforeAutospacing="0" w:afterAutospacing="0" w:line="324" w:lineRule="atLeast"/>
            </w:pPr>
            <w:r>
              <w:t>Output return loss</w:t>
            </w:r>
          </w:p>
        </w:tc>
        <w:tc>
          <w:tcPr>
            <w:tcW w:w="4530" w:type="dxa"/>
            <w:shd w:val="clear" w:color="auto" w:fill="auto"/>
            <w:vAlign w:val="center"/>
          </w:tcPr>
          <w:p w14:paraId="3CD95542">
            <w:pPr>
              <w:pStyle w:val="6"/>
              <w:widowControl/>
              <w:spacing w:beforeAutospacing="0" w:afterAutospacing="0" w:line="324" w:lineRule="atLeast"/>
            </w:pPr>
            <w:r>
              <w:t>≥14dB</w:t>
            </w:r>
          </w:p>
        </w:tc>
      </w:tr>
      <w:tr w14:paraId="484E5F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60" w:type="dxa"/>
            <w:vMerge w:val="continue"/>
            <w:shd w:val="clear" w:color="auto" w:fill="auto"/>
            <w:vAlign w:val="center"/>
          </w:tcPr>
          <w:p w14:paraId="6A7290A8">
            <w:pPr>
              <w:jc w:val="left"/>
              <w:rPr>
                <w:rFonts w:ascii="宋体"/>
                <w:sz w:val="24"/>
                <w:szCs w:val="24"/>
              </w:rPr>
            </w:pPr>
          </w:p>
        </w:tc>
        <w:tc>
          <w:tcPr>
            <w:tcW w:w="3120" w:type="dxa"/>
            <w:gridSpan w:val="2"/>
            <w:shd w:val="clear" w:color="auto" w:fill="auto"/>
            <w:vAlign w:val="center"/>
          </w:tcPr>
          <w:p w14:paraId="795B48AF">
            <w:pPr>
              <w:pStyle w:val="6"/>
              <w:widowControl/>
              <w:spacing w:beforeAutospacing="0" w:afterAutospacing="0" w:line="324" w:lineRule="atLeast"/>
            </w:pPr>
            <w:r>
              <w:t>Output level</w:t>
            </w:r>
          </w:p>
        </w:tc>
        <w:tc>
          <w:tcPr>
            <w:tcW w:w="4530" w:type="dxa"/>
            <w:shd w:val="clear" w:color="auto" w:fill="auto"/>
            <w:vAlign w:val="center"/>
          </w:tcPr>
          <w:p w14:paraId="68755307">
            <w:pPr>
              <w:pStyle w:val="6"/>
              <w:widowControl/>
              <w:spacing w:beforeAutospacing="0" w:afterAutospacing="0" w:line="324" w:lineRule="atLeast"/>
            </w:pPr>
            <w:r>
              <w:t>≥113dBμV</w:t>
            </w:r>
          </w:p>
        </w:tc>
      </w:tr>
      <w:tr w14:paraId="5C7568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60" w:type="dxa"/>
            <w:vMerge w:val="continue"/>
            <w:shd w:val="clear" w:color="auto" w:fill="auto"/>
            <w:vAlign w:val="center"/>
          </w:tcPr>
          <w:p w14:paraId="43B68624">
            <w:pPr>
              <w:jc w:val="left"/>
              <w:rPr>
                <w:rFonts w:ascii="宋体"/>
                <w:sz w:val="24"/>
                <w:szCs w:val="24"/>
              </w:rPr>
            </w:pPr>
          </w:p>
        </w:tc>
        <w:tc>
          <w:tcPr>
            <w:tcW w:w="3120" w:type="dxa"/>
            <w:gridSpan w:val="2"/>
            <w:shd w:val="clear" w:color="auto" w:fill="auto"/>
            <w:vAlign w:val="center"/>
          </w:tcPr>
          <w:p w14:paraId="197E07C8">
            <w:pPr>
              <w:pStyle w:val="6"/>
              <w:widowControl/>
              <w:spacing w:beforeAutospacing="0" w:afterAutospacing="0" w:line="324" w:lineRule="atLeast"/>
            </w:pPr>
            <w:r>
              <w:t>Output level adjustable range</w:t>
            </w:r>
          </w:p>
        </w:tc>
        <w:tc>
          <w:tcPr>
            <w:tcW w:w="4530" w:type="dxa"/>
            <w:shd w:val="clear" w:color="auto" w:fill="auto"/>
            <w:vAlign w:val="center"/>
          </w:tcPr>
          <w:p w14:paraId="547885BE">
            <w:pPr>
              <w:pStyle w:val="6"/>
              <w:widowControl/>
              <w:spacing w:beforeAutospacing="0" w:afterAutospacing="0" w:line="324" w:lineRule="atLeast"/>
            </w:pPr>
            <w:r>
              <w:t>0~16dB</w:t>
            </w:r>
          </w:p>
        </w:tc>
      </w:tr>
      <w:tr w14:paraId="00A3C3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60" w:type="dxa"/>
            <w:vMerge w:val="continue"/>
            <w:shd w:val="clear" w:color="auto" w:fill="auto"/>
            <w:vAlign w:val="center"/>
          </w:tcPr>
          <w:p w14:paraId="5DB8AC2A">
            <w:pPr>
              <w:jc w:val="left"/>
              <w:rPr>
                <w:rFonts w:ascii="宋体"/>
                <w:sz w:val="24"/>
                <w:szCs w:val="24"/>
              </w:rPr>
            </w:pPr>
          </w:p>
        </w:tc>
        <w:tc>
          <w:tcPr>
            <w:tcW w:w="3120" w:type="dxa"/>
            <w:gridSpan w:val="2"/>
            <w:shd w:val="clear" w:color="auto" w:fill="auto"/>
            <w:vAlign w:val="center"/>
          </w:tcPr>
          <w:p w14:paraId="6C374596">
            <w:pPr>
              <w:pStyle w:val="6"/>
              <w:widowControl/>
              <w:spacing w:beforeAutospacing="0" w:afterAutospacing="0" w:line="324" w:lineRule="atLeast"/>
            </w:pPr>
            <w:r>
              <w:t>Error of video/audio carrier interval</w:t>
            </w:r>
          </w:p>
        </w:tc>
        <w:tc>
          <w:tcPr>
            <w:tcW w:w="4530" w:type="dxa"/>
            <w:shd w:val="clear" w:color="auto" w:fill="auto"/>
            <w:vAlign w:val="center"/>
          </w:tcPr>
          <w:p w14:paraId="2C026CE3">
            <w:pPr>
              <w:pStyle w:val="6"/>
              <w:widowControl/>
              <w:spacing w:beforeAutospacing="0" w:afterAutospacing="0" w:line="324" w:lineRule="atLeast"/>
            </w:pPr>
            <w:r>
              <w:t>≤5 kHz</w:t>
            </w:r>
          </w:p>
        </w:tc>
      </w:tr>
      <w:tr w14:paraId="2CEBE5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60" w:type="dxa"/>
            <w:vMerge w:val="continue"/>
            <w:shd w:val="clear" w:color="auto" w:fill="auto"/>
            <w:vAlign w:val="center"/>
          </w:tcPr>
          <w:p w14:paraId="47FB60B1">
            <w:pPr>
              <w:jc w:val="left"/>
              <w:rPr>
                <w:rFonts w:ascii="宋体"/>
                <w:sz w:val="24"/>
                <w:szCs w:val="24"/>
              </w:rPr>
            </w:pPr>
          </w:p>
        </w:tc>
        <w:tc>
          <w:tcPr>
            <w:tcW w:w="3120" w:type="dxa"/>
            <w:gridSpan w:val="2"/>
            <w:shd w:val="clear" w:color="auto" w:fill="auto"/>
            <w:vAlign w:val="center"/>
          </w:tcPr>
          <w:p w14:paraId="7FC5C1F4">
            <w:pPr>
              <w:pStyle w:val="6"/>
              <w:widowControl/>
              <w:spacing w:beforeAutospacing="0" w:afterAutospacing="0" w:line="324" w:lineRule="atLeast"/>
            </w:pPr>
            <w:r>
              <w:t>Carrier to noise ratio (C/N)</w:t>
            </w:r>
          </w:p>
        </w:tc>
        <w:tc>
          <w:tcPr>
            <w:tcW w:w="4530" w:type="dxa"/>
            <w:shd w:val="clear" w:color="auto" w:fill="auto"/>
            <w:vAlign w:val="center"/>
          </w:tcPr>
          <w:p w14:paraId="3A5D050C">
            <w:pPr>
              <w:pStyle w:val="6"/>
              <w:widowControl/>
              <w:spacing w:beforeAutospacing="0" w:afterAutospacing="0" w:line="324" w:lineRule="atLeast"/>
            </w:pPr>
            <w:r>
              <w:t>≥62dB</w:t>
            </w:r>
          </w:p>
        </w:tc>
      </w:tr>
      <w:tr w14:paraId="716064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60" w:type="dxa"/>
            <w:vMerge w:val="continue"/>
            <w:shd w:val="clear" w:color="auto" w:fill="auto"/>
            <w:vAlign w:val="center"/>
          </w:tcPr>
          <w:p w14:paraId="7CEB79FB">
            <w:pPr>
              <w:jc w:val="left"/>
              <w:rPr>
                <w:rFonts w:ascii="宋体"/>
                <w:sz w:val="24"/>
                <w:szCs w:val="24"/>
              </w:rPr>
            </w:pPr>
          </w:p>
        </w:tc>
        <w:tc>
          <w:tcPr>
            <w:tcW w:w="3120" w:type="dxa"/>
            <w:gridSpan w:val="2"/>
            <w:shd w:val="clear" w:color="auto" w:fill="auto"/>
            <w:vAlign w:val="center"/>
          </w:tcPr>
          <w:p w14:paraId="3AF5291C">
            <w:pPr>
              <w:pStyle w:val="6"/>
              <w:widowControl/>
              <w:spacing w:beforeAutospacing="0" w:afterAutospacing="0" w:line="324" w:lineRule="atLeast"/>
            </w:pPr>
            <w:r>
              <w:t>Output suppression</w:t>
            </w:r>
          </w:p>
        </w:tc>
        <w:tc>
          <w:tcPr>
            <w:tcW w:w="4530" w:type="dxa"/>
            <w:shd w:val="clear" w:color="auto" w:fill="auto"/>
            <w:vAlign w:val="center"/>
          </w:tcPr>
          <w:p w14:paraId="5FB25071">
            <w:pPr>
              <w:pStyle w:val="6"/>
              <w:widowControl/>
              <w:spacing w:beforeAutospacing="0" w:afterAutospacing="0" w:line="324" w:lineRule="atLeast"/>
            </w:pPr>
            <w:r>
              <w:t>≥60dB (≥130dBuV testing)</w:t>
            </w:r>
          </w:p>
        </w:tc>
      </w:tr>
      <w:tr w14:paraId="33DA1E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60" w:type="dxa"/>
            <w:vMerge w:val="continue"/>
            <w:shd w:val="clear" w:color="auto" w:fill="auto"/>
            <w:vAlign w:val="center"/>
          </w:tcPr>
          <w:p w14:paraId="23FEBA11">
            <w:pPr>
              <w:jc w:val="left"/>
              <w:rPr>
                <w:rFonts w:ascii="宋体"/>
                <w:sz w:val="24"/>
                <w:szCs w:val="24"/>
              </w:rPr>
            </w:pPr>
          </w:p>
        </w:tc>
        <w:tc>
          <w:tcPr>
            <w:tcW w:w="3120" w:type="dxa"/>
            <w:gridSpan w:val="2"/>
            <w:shd w:val="clear" w:color="auto" w:fill="auto"/>
            <w:vAlign w:val="center"/>
          </w:tcPr>
          <w:p w14:paraId="2523BEB9">
            <w:pPr>
              <w:pStyle w:val="6"/>
              <w:widowControl/>
              <w:spacing w:beforeAutospacing="0" w:afterAutospacing="0" w:line="324" w:lineRule="atLeast"/>
            </w:pPr>
            <w:r>
              <w:t>Flatness in band</w:t>
            </w:r>
          </w:p>
        </w:tc>
        <w:tc>
          <w:tcPr>
            <w:tcW w:w="4530" w:type="dxa"/>
            <w:shd w:val="clear" w:color="auto" w:fill="auto"/>
            <w:vAlign w:val="center"/>
          </w:tcPr>
          <w:p w14:paraId="1A1C04CB">
            <w:pPr>
              <w:pStyle w:val="6"/>
              <w:widowControl/>
              <w:spacing w:beforeAutospacing="0" w:afterAutospacing="0" w:line="324" w:lineRule="atLeast"/>
            </w:pPr>
            <w:r>
              <w:t>≤1dB</w:t>
            </w:r>
          </w:p>
        </w:tc>
      </w:tr>
      <w:tr w14:paraId="40D626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60" w:type="dxa"/>
            <w:vMerge w:val="continue"/>
            <w:shd w:val="clear" w:color="auto" w:fill="auto"/>
            <w:vAlign w:val="center"/>
          </w:tcPr>
          <w:p w14:paraId="4BBB463B">
            <w:pPr>
              <w:jc w:val="left"/>
              <w:rPr>
                <w:rFonts w:ascii="宋体"/>
                <w:sz w:val="24"/>
                <w:szCs w:val="24"/>
              </w:rPr>
            </w:pPr>
          </w:p>
        </w:tc>
        <w:tc>
          <w:tcPr>
            <w:tcW w:w="3120" w:type="dxa"/>
            <w:gridSpan w:val="2"/>
            <w:shd w:val="clear" w:color="auto" w:fill="auto"/>
            <w:vAlign w:val="center"/>
          </w:tcPr>
          <w:p w14:paraId="76DC04AD">
            <w:pPr>
              <w:pStyle w:val="6"/>
              <w:widowControl/>
              <w:spacing w:beforeAutospacing="0" w:afterAutospacing="0" w:line="324" w:lineRule="atLeast"/>
            </w:pPr>
            <w:r>
              <w:t>Frequency accuracy</w:t>
            </w:r>
          </w:p>
        </w:tc>
        <w:tc>
          <w:tcPr>
            <w:tcW w:w="4530" w:type="dxa"/>
            <w:shd w:val="clear" w:color="auto" w:fill="auto"/>
            <w:vAlign w:val="center"/>
          </w:tcPr>
          <w:p w14:paraId="3772D391">
            <w:pPr>
              <w:pStyle w:val="6"/>
              <w:widowControl/>
              <w:spacing w:beforeAutospacing="0" w:afterAutospacing="0" w:line="324" w:lineRule="atLeast"/>
            </w:pPr>
            <w:r>
              <w:t>≤5kHz</w:t>
            </w:r>
          </w:p>
        </w:tc>
      </w:tr>
      <w:tr w14:paraId="75D4F8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60" w:type="dxa"/>
            <w:vMerge w:val="continue"/>
            <w:shd w:val="clear" w:color="auto" w:fill="auto"/>
            <w:vAlign w:val="center"/>
          </w:tcPr>
          <w:p w14:paraId="046EBC18">
            <w:pPr>
              <w:jc w:val="left"/>
              <w:rPr>
                <w:rFonts w:ascii="宋体"/>
                <w:sz w:val="24"/>
                <w:szCs w:val="24"/>
              </w:rPr>
            </w:pPr>
          </w:p>
        </w:tc>
        <w:tc>
          <w:tcPr>
            <w:tcW w:w="3120" w:type="dxa"/>
            <w:gridSpan w:val="2"/>
            <w:shd w:val="clear" w:color="auto" w:fill="auto"/>
            <w:vAlign w:val="center"/>
          </w:tcPr>
          <w:p w14:paraId="1F3186A2">
            <w:pPr>
              <w:pStyle w:val="6"/>
              <w:widowControl/>
              <w:spacing w:beforeAutospacing="0" w:afterAutospacing="0" w:line="324" w:lineRule="atLeast"/>
            </w:pPr>
            <w:r>
              <w:t>Adjacent Frequency suppression</w:t>
            </w:r>
          </w:p>
        </w:tc>
        <w:tc>
          <w:tcPr>
            <w:tcW w:w="4530" w:type="dxa"/>
            <w:shd w:val="clear" w:color="auto" w:fill="auto"/>
            <w:vAlign w:val="center"/>
          </w:tcPr>
          <w:p w14:paraId="271E4FEF">
            <w:pPr>
              <w:pStyle w:val="6"/>
              <w:widowControl/>
              <w:spacing w:beforeAutospacing="0" w:afterAutospacing="0" w:line="324" w:lineRule="atLeast"/>
            </w:pPr>
            <w:r>
              <w:t>≥45dB</w:t>
            </w:r>
          </w:p>
        </w:tc>
      </w:tr>
      <w:tr w14:paraId="40577F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560" w:type="dxa"/>
            <w:vMerge w:val="restart"/>
            <w:shd w:val="clear" w:color="auto" w:fill="auto"/>
            <w:vAlign w:val="center"/>
          </w:tcPr>
          <w:p w14:paraId="59C290F5">
            <w:pPr>
              <w:pStyle w:val="6"/>
              <w:widowControl/>
              <w:spacing w:beforeAutospacing="0" w:afterAutospacing="0" w:line="324" w:lineRule="atLeast"/>
            </w:pPr>
            <w:r>
              <w:rPr>
                <w:rStyle w:val="10"/>
              </w:rPr>
              <w:t>System function</w:t>
            </w:r>
          </w:p>
        </w:tc>
        <w:tc>
          <w:tcPr>
            <w:tcW w:w="7650" w:type="dxa"/>
            <w:gridSpan w:val="3"/>
            <w:shd w:val="clear" w:color="auto" w:fill="auto"/>
            <w:vAlign w:val="center"/>
          </w:tcPr>
          <w:p w14:paraId="6ED97FEC">
            <w:pPr>
              <w:pStyle w:val="6"/>
              <w:widowControl/>
              <w:spacing w:beforeAutospacing="0" w:afterAutospacing="0" w:line="324" w:lineRule="atLeast"/>
            </w:pPr>
            <w:r>
              <w:t>Keyboard and LCD operation</w:t>
            </w:r>
          </w:p>
        </w:tc>
      </w:tr>
      <w:tr w14:paraId="3CFB83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560" w:type="dxa"/>
            <w:vMerge w:val="continue"/>
            <w:shd w:val="clear" w:color="auto" w:fill="auto"/>
            <w:vAlign w:val="center"/>
          </w:tcPr>
          <w:p w14:paraId="0D21216B">
            <w:pPr>
              <w:jc w:val="left"/>
              <w:rPr>
                <w:rFonts w:ascii="宋体"/>
                <w:sz w:val="24"/>
                <w:szCs w:val="24"/>
              </w:rPr>
            </w:pPr>
          </w:p>
        </w:tc>
        <w:tc>
          <w:tcPr>
            <w:tcW w:w="7650" w:type="dxa"/>
            <w:gridSpan w:val="3"/>
            <w:shd w:val="clear" w:color="auto" w:fill="auto"/>
            <w:vAlign w:val="center"/>
          </w:tcPr>
          <w:p w14:paraId="00CDB049">
            <w:pPr>
              <w:pStyle w:val="6"/>
              <w:widowControl/>
              <w:spacing w:beforeAutospacing="0" w:afterAutospacing="0" w:line="324" w:lineRule="atLeast"/>
            </w:pPr>
            <w:r>
              <w:t>Multiple languages</w:t>
            </w:r>
          </w:p>
        </w:tc>
      </w:tr>
      <w:tr w14:paraId="3CC6FC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560" w:type="dxa"/>
            <w:vMerge w:val="continue"/>
            <w:shd w:val="clear" w:color="auto" w:fill="auto"/>
            <w:vAlign w:val="center"/>
          </w:tcPr>
          <w:p w14:paraId="116F6806">
            <w:pPr>
              <w:jc w:val="left"/>
              <w:rPr>
                <w:rFonts w:ascii="宋体"/>
                <w:sz w:val="24"/>
                <w:szCs w:val="24"/>
              </w:rPr>
            </w:pPr>
          </w:p>
        </w:tc>
        <w:tc>
          <w:tcPr>
            <w:tcW w:w="7650" w:type="dxa"/>
            <w:gridSpan w:val="3"/>
            <w:shd w:val="clear" w:color="auto" w:fill="auto"/>
            <w:vAlign w:val="center"/>
          </w:tcPr>
          <w:p w14:paraId="074FB01E">
            <w:pPr>
              <w:pStyle w:val="6"/>
              <w:widowControl/>
              <w:spacing w:beforeAutospacing="0" w:afterAutospacing="0" w:line="324" w:lineRule="atLeast"/>
            </w:pPr>
            <w:r>
              <w:t>Ethernet software upgrade</w:t>
            </w:r>
          </w:p>
        </w:tc>
      </w:tr>
      <w:tr w14:paraId="0454DE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560" w:type="dxa"/>
            <w:vMerge w:val="restart"/>
            <w:shd w:val="clear" w:color="auto" w:fill="auto"/>
            <w:vAlign w:val="center"/>
          </w:tcPr>
          <w:p w14:paraId="78055CA4">
            <w:pPr>
              <w:pStyle w:val="6"/>
              <w:widowControl/>
              <w:spacing w:beforeAutospacing="0" w:afterAutospacing="0" w:line="324" w:lineRule="atLeast"/>
            </w:pPr>
            <w:r>
              <w:rPr>
                <w:rStyle w:val="10"/>
              </w:rPr>
              <w:t>Miscellaneous</w:t>
            </w:r>
          </w:p>
        </w:tc>
        <w:tc>
          <w:tcPr>
            <w:tcW w:w="2130" w:type="dxa"/>
            <w:shd w:val="clear" w:color="auto" w:fill="auto"/>
            <w:vAlign w:val="center"/>
          </w:tcPr>
          <w:p w14:paraId="0A353B17">
            <w:pPr>
              <w:pStyle w:val="6"/>
              <w:widowControl/>
              <w:spacing w:beforeAutospacing="0" w:afterAutospacing="0" w:line="324" w:lineRule="atLeast"/>
            </w:pPr>
            <w:r>
              <w:t>Dimension(W×L×H)</w:t>
            </w:r>
          </w:p>
        </w:tc>
        <w:tc>
          <w:tcPr>
            <w:tcW w:w="5535" w:type="dxa"/>
            <w:gridSpan w:val="2"/>
            <w:shd w:val="clear" w:color="auto" w:fill="auto"/>
            <w:vAlign w:val="center"/>
          </w:tcPr>
          <w:p w14:paraId="05236E24">
            <w:pPr>
              <w:pStyle w:val="6"/>
              <w:widowControl/>
              <w:spacing w:beforeAutospacing="0" w:afterAutospacing="0" w:line="324" w:lineRule="atLeast"/>
            </w:pPr>
            <w:r>
              <w:t>482*256*44mm</w:t>
            </w:r>
          </w:p>
        </w:tc>
      </w:tr>
      <w:tr w14:paraId="66DCB3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560" w:type="dxa"/>
            <w:vMerge w:val="continue"/>
            <w:shd w:val="clear" w:color="auto" w:fill="auto"/>
            <w:vAlign w:val="center"/>
          </w:tcPr>
          <w:p w14:paraId="61906103">
            <w:pPr>
              <w:jc w:val="left"/>
              <w:rPr>
                <w:rFonts w:ascii="宋体"/>
                <w:sz w:val="24"/>
                <w:szCs w:val="24"/>
              </w:rPr>
            </w:pPr>
          </w:p>
        </w:tc>
        <w:tc>
          <w:tcPr>
            <w:tcW w:w="2130" w:type="dxa"/>
            <w:shd w:val="clear" w:color="auto" w:fill="auto"/>
            <w:vAlign w:val="center"/>
          </w:tcPr>
          <w:p w14:paraId="1B02B1CF">
            <w:pPr>
              <w:pStyle w:val="6"/>
              <w:widowControl/>
              <w:spacing w:beforeAutospacing="0" w:afterAutospacing="0" w:line="324" w:lineRule="atLeast"/>
            </w:pPr>
            <w:r>
              <w:t>Environment</w:t>
            </w:r>
          </w:p>
        </w:tc>
        <w:tc>
          <w:tcPr>
            <w:tcW w:w="5535" w:type="dxa"/>
            <w:gridSpan w:val="2"/>
            <w:shd w:val="clear" w:color="auto" w:fill="auto"/>
            <w:vAlign w:val="center"/>
          </w:tcPr>
          <w:p w14:paraId="671A0A16">
            <w:pPr>
              <w:pStyle w:val="6"/>
              <w:widowControl/>
              <w:spacing w:beforeAutospacing="0" w:afterAutospacing="0" w:line="324" w:lineRule="atLeast"/>
            </w:pPr>
            <w:r>
              <w:t>-10~45℃(work); -20~80℃ (storage）</w:t>
            </w:r>
          </w:p>
        </w:tc>
      </w:tr>
      <w:tr w14:paraId="2484F1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560" w:type="dxa"/>
            <w:vMerge w:val="continue"/>
            <w:shd w:val="clear" w:color="auto" w:fill="auto"/>
            <w:vAlign w:val="center"/>
          </w:tcPr>
          <w:p w14:paraId="17FE20C1">
            <w:pPr>
              <w:jc w:val="left"/>
              <w:rPr>
                <w:rFonts w:ascii="宋体"/>
                <w:sz w:val="24"/>
                <w:szCs w:val="24"/>
              </w:rPr>
            </w:pPr>
          </w:p>
        </w:tc>
        <w:tc>
          <w:tcPr>
            <w:tcW w:w="2130" w:type="dxa"/>
            <w:shd w:val="clear" w:color="auto" w:fill="auto"/>
            <w:vAlign w:val="center"/>
          </w:tcPr>
          <w:p w14:paraId="3EF77337">
            <w:pPr>
              <w:pStyle w:val="6"/>
              <w:widowControl/>
              <w:spacing w:beforeAutospacing="0" w:afterAutospacing="0" w:line="324" w:lineRule="atLeast"/>
            </w:pPr>
            <w:r>
              <w:t>Power requirements </w:t>
            </w:r>
          </w:p>
        </w:tc>
        <w:tc>
          <w:tcPr>
            <w:tcW w:w="5535" w:type="dxa"/>
            <w:gridSpan w:val="2"/>
            <w:shd w:val="clear" w:color="auto" w:fill="auto"/>
            <w:vAlign w:val="center"/>
          </w:tcPr>
          <w:p w14:paraId="38B6A8A9">
            <w:pPr>
              <w:pStyle w:val="6"/>
              <w:widowControl/>
              <w:spacing w:beforeAutospacing="0" w:afterAutospacing="0" w:line="324" w:lineRule="atLeast"/>
            </w:pPr>
            <w:r>
              <w:t>AC 90-264V, 50Hz</w:t>
            </w:r>
          </w:p>
        </w:tc>
      </w:tr>
    </w:tbl>
    <w:p w14:paraId="1AD60911">
      <w:pPr>
        <w:pStyle w:val="6"/>
        <w:widowControl/>
        <w:spacing w:beforeAutospacing="0" w:afterAutospacing="0" w:line="324" w:lineRule="atLeast"/>
      </w:pPr>
      <w:r>
        <w:rPr>
          <w:rFonts w:ascii="Verdana" w:hAnsi="Verdana" w:cs="Verdana"/>
          <w:color w:val="333333"/>
          <w:sz w:val="18"/>
          <w:szCs w:val="18"/>
          <w:shd w:val="clear" w:color="auto" w:fill="FEFCFD"/>
        </w:rPr>
        <w:t> </w:t>
      </w:r>
    </w:p>
    <w:p w14:paraId="5F6E34F9">
      <w:pPr>
        <w:widowControl/>
        <w:shd w:val="clear" w:color="auto" w:fill="F2F2F4"/>
        <w:jc w:val="left"/>
        <w:rPr>
          <w:rFonts w:ascii="Verdana" w:hAnsi="Verdana" w:cs="Verdana"/>
          <w:color w:val="333333"/>
          <w:sz w:val="18"/>
          <w:szCs w:val="18"/>
        </w:rPr>
      </w:pPr>
    </w:p>
    <w:p w14:paraId="58F35F6D">
      <w:pPr>
        <w:rPr>
          <w:rFonts w:ascii="Verdana" w:hAnsi="Verdana" w:cs="Verdana"/>
          <w:color w:val="000000"/>
          <w:sz w:val="28"/>
        </w:rPr>
      </w:pPr>
    </w:p>
    <w:p w14:paraId="3DE622F1">
      <w:pPr>
        <w:rPr>
          <w:rFonts w:ascii="Verdana" w:hAnsi="Verdana" w:cs="Verdana"/>
          <w:b/>
          <w:color w:val="000000"/>
          <w:sz w:val="22"/>
        </w:rPr>
      </w:pPr>
      <w:r>
        <w:rPr>
          <w:rFonts w:hint="eastAsia" w:ascii="Verdana" w:hAnsi="Verdana" w:cs="Verdana"/>
          <w:b/>
          <w:color w:val="000000"/>
          <w:sz w:val="22"/>
        </w:rPr>
        <w:t>About Us</w:t>
      </w:r>
    </w:p>
    <w:p w14:paraId="4419BFA0">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5F23F346">
      <w:pPr>
        <w:rPr>
          <w:rFonts w:ascii="Verdana" w:hAnsi="Verdana" w:cs="Verdana"/>
          <w:color w:val="000000"/>
          <w:sz w:val="18"/>
        </w:rPr>
      </w:pPr>
    </w:p>
    <w:p w14:paraId="5A6D9E4B">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7E022">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09F6A510">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15B65">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248F2"/>
    <w:rsid w:val="006506B4"/>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E714EC9"/>
    <w:rsid w:val="0FC87CEA"/>
    <w:rsid w:val="101C4557"/>
    <w:rsid w:val="12EC38F6"/>
    <w:rsid w:val="15C25510"/>
    <w:rsid w:val="18A74820"/>
    <w:rsid w:val="18AE427D"/>
    <w:rsid w:val="18E81EA3"/>
    <w:rsid w:val="1B974A15"/>
    <w:rsid w:val="1BD67AAF"/>
    <w:rsid w:val="1CDC4CA0"/>
    <w:rsid w:val="1FCC39C5"/>
    <w:rsid w:val="1FEB63A2"/>
    <w:rsid w:val="20F61905"/>
    <w:rsid w:val="2199682E"/>
    <w:rsid w:val="239E3C7B"/>
    <w:rsid w:val="27B55639"/>
    <w:rsid w:val="2A752F8B"/>
    <w:rsid w:val="2ABB7A41"/>
    <w:rsid w:val="2C665CEA"/>
    <w:rsid w:val="2DC710C0"/>
    <w:rsid w:val="2E0F6BE8"/>
    <w:rsid w:val="314F3E41"/>
    <w:rsid w:val="319A68DF"/>
    <w:rsid w:val="36CC2220"/>
    <w:rsid w:val="371338E5"/>
    <w:rsid w:val="3B533162"/>
    <w:rsid w:val="45872050"/>
    <w:rsid w:val="465213D6"/>
    <w:rsid w:val="478E224E"/>
    <w:rsid w:val="485E04E5"/>
    <w:rsid w:val="487316FE"/>
    <w:rsid w:val="49B75FAC"/>
    <w:rsid w:val="4E4A4BF6"/>
    <w:rsid w:val="4F8D25ED"/>
    <w:rsid w:val="51AD130D"/>
    <w:rsid w:val="540A3FAB"/>
    <w:rsid w:val="562E484B"/>
    <w:rsid w:val="56834992"/>
    <w:rsid w:val="57966266"/>
    <w:rsid w:val="5930748A"/>
    <w:rsid w:val="59933671"/>
    <w:rsid w:val="5AA83521"/>
    <w:rsid w:val="5BAD7B3C"/>
    <w:rsid w:val="5EEA5249"/>
    <w:rsid w:val="609213A6"/>
    <w:rsid w:val="61BA6334"/>
    <w:rsid w:val="63C27F07"/>
    <w:rsid w:val="68AD6386"/>
    <w:rsid w:val="6D7A6503"/>
    <w:rsid w:val="6F952A59"/>
    <w:rsid w:val="70757613"/>
    <w:rsid w:val="70B756B4"/>
    <w:rsid w:val="73270F88"/>
    <w:rsid w:val="74455F31"/>
    <w:rsid w:val="7540100C"/>
    <w:rsid w:val="77935A18"/>
    <w:rsid w:val="79BD1FCD"/>
    <w:rsid w:val="7B8E7427"/>
    <w:rsid w:val="7EAE425E"/>
    <w:rsid w:val="7F1D6F8B"/>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Modulator/DSM2500D/3EEECN_20180816025508.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361</Words>
  <Characters>2107</Characters>
  <Lines>17</Lines>
  <Paragraphs>4</Paragraphs>
  <TotalTime>0</TotalTime>
  <ScaleCrop>false</ScaleCrop>
  <LinksUpToDate>false</LinksUpToDate>
  <CharactersWithSpaces>2393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2026-08-11T07:07:45Z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