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B25A2">
      <w:pPr>
        <w:pStyle w:val="6"/>
        <w:widowControl/>
        <w:spacing w:beforeAutospacing="0" w:afterAutospacing="0" w:line="324" w:lineRule="atLeast"/>
        <w:jc w:val="center"/>
        <w:rPr>
          <w:rFonts w:ascii="Verdana" w:hAnsi="Verdana" w:cs="Verdana"/>
          <w:b/>
          <w:color w:val="000000"/>
          <w:sz w:val="28"/>
        </w:rPr>
      </w:pPr>
      <w:bookmarkStart w:id="0" w:name="_GoBack"/>
      <w:bookmarkEnd w:id="0"/>
      <w:r>
        <w:rPr>
          <w:rFonts w:hint="eastAsia" w:ascii="Verdana" w:hAnsi="Verdana" w:cs="Verdana"/>
          <w:b/>
          <w:i w:val="0"/>
          <w:strike w:val="0"/>
          <w:color w:val="000000"/>
          <w:sz w:val="28"/>
          <w:lang w:eastAsia="zh-CN"/>
        </w:rPr>
        <w:t>FMUSER FUQ-3214C Multi-Channel SD Encoder 4-8-12 CVBS-SDI Input to IP Output MPEG-2 H.264 Encoding Web-Based Control CATV Headend Broadcast</w:t>
      </w:r>
    </w:p>
    <w:p w14:paraId="3E533D80">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5018405" cy="2479675"/>
            <wp:effectExtent l="0" t="0" r="10795" b="15875"/>
            <wp:docPr id="1" name="图片 1" descr="3EEECN_20190404031125"/>
            <wp:cNvGraphicFramePr/>
            <a:graphic xmlns:a="http://schemas.openxmlformats.org/drawingml/2006/main">
              <a:graphicData uri="http://schemas.openxmlformats.org/drawingml/2006/picture">
                <pic:pic xmlns:pic="http://schemas.openxmlformats.org/drawingml/2006/picture">
                  <pic:nvPicPr>
                    <pic:cNvPr id="1" name="图片 1" descr="3EEECN_20190404031125"/>
                    <pic:cNvPicPr/>
                  </pic:nvPicPr>
                  <pic:blipFill>
                    <a:blip r:embed="rId6"/>
                    <a:stretch>
                      <a:fillRect/>
                    </a:stretch>
                  </pic:blipFill>
                  <pic:spPr>
                    <a:xfrm>
                      <a:off x="0" y="0"/>
                      <a:ext cx="5018405" cy="247967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7440" cy="746125"/>
            <wp:effectExtent l="0" t="0" r="3810" b="1587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746125"/>
                    </a:xfrm>
                    <a:prstGeom prst="rect">
                      <a:avLst/>
                    </a:prstGeom>
                    <a:noFill/>
                    <a:ln w="9525">
                      <a:noFill/>
                    </a:ln>
                  </pic:spPr>
                </pic:pic>
              </a:graphicData>
            </a:graphic>
          </wp:inline>
        </w:drawing>
      </w:r>
    </w:p>
    <w:p w14:paraId="0FC4DCBD">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15A3B1D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4928235" cy="2190115"/>
            <wp:effectExtent l="0" t="0" r="5715" b="635"/>
            <wp:docPr id="7"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10"/>
                    <a:stretch>
                      <a:fillRect/>
                    </a:stretch>
                  </pic:blipFill>
                  <pic:spPr>
                    <a:xfrm>
                      <a:off x="0" y="0"/>
                      <a:ext cx="4928235" cy="2190115"/>
                    </a:xfrm>
                    <a:prstGeom prst="rect">
                      <a:avLst/>
                    </a:prstGeom>
                    <a:noFill/>
                    <a:ln w="9525">
                      <a:noFill/>
                    </a:ln>
                  </pic:spPr>
                </pic:pic>
              </a:graphicData>
            </a:graphic>
          </wp:inline>
        </w:drawing>
      </w:r>
    </w:p>
    <w:p w14:paraId="26438BC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4829175" cy="2143125"/>
            <wp:effectExtent l="0" t="0" r="9525" b="9525"/>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4829175" cy="2143125"/>
                    </a:xfrm>
                    <a:prstGeom prst="rect">
                      <a:avLst/>
                    </a:prstGeom>
                    <a:noFill/>
                    <a:ln w="9525">
                      <a:noFill/>
                    </a:ln>
                  </pic:spPr>
                </pic:pic>
              </a:graphicData>
            </a:graphic>
          </wp:inline>
        </w:drawing>
      </w:r>
    </w:p>
    <w:p w14:paraId="115DBCC4">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70802140">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4802505" cy="5953760"/>
            <wp:effectExtent l="0" t="0" r="17145" b="8890"/>
            <wp:docPr id="8"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9"/>
                    <pic:cNvPicPr>
                      <a:picLocks noChangeAspect="1"/>
                    </pic:cNvPicPr>
                  </pic:nvPicPr>
                  <pic:blipFill>
                    <a:blip r:embed="rId14"/>
                    <a:stretch>
                      <a:fillRect/>
                    </a:stretch>
                  </pic:blipFill>
                  <pic:spPr>
                    <a:xfrm>
                      <a:off x="0" y="0"/>
                      <a:ext cx="4802505" cy="5953760"/>
                    </a:xfrm>
                    <a:prstGeom prst="rect">
                      <a:avLst/>
                    </a:prstGeom>
                    <a:noFill/>
                    <a:ln w="9525">
                      <a:noFill/>
                    </a:ln>
                  </pic:spPr>
                </pic:pic>
              </a:graphicData>
            </a:graphic>
          </wp:inline>
        </w:drawing>
      </w:r>
    </w:p>
    <w:p w14:paraId="4C53D8C7">
      <w:pPr>
        <w:pStyle w:val="6"/>
        <w:widowControl/>
        <w:spacing w:beforeAutospacing="0" w:afterAutospacing="0" w:line="324" w:lineRule="atLeast"/>
      </w:pPr>
      <w:r>
        <w:rPr>
          <w:rFonts w:ascii="Verdana" w:hAnsi="Verdana" w:cs="Verdana"/>
          <w:color w:val="333333"/>
          <w:sz w:val="18"/>
          <w:szCs w:val="18"/>
          <w:shd w:val="clear" w:color="auto" w:fill="FEFCFD"/>
        </w:rPr>
        <w:t> </w:t>
      </w:r>
    </w:p>
    <w:p w14:paraId="0390E112">
      <w:pPr>
        <w:pStyle w:val="6"/>
        <w:widowControl/>
        <w:spacing w:beforeAutospacing="0" w:afterAutospacing="0" w:line="324" w:lineRule="atLeast"/>
      </w:pPr>
      <w:r>
        <w:rPr>
          <w:rStyle w:val="10"/>
          <w:rFonts w:ascii="Verdana" w:hAnsi="Verdana" w:cs="Verdana"/>
          <w:color w:val="FF8C00"/>
          <w:sz w:val="18"/>
          <w:szCs w:val="18"/>
          <w:shd w:val="clear" w:color="auto" w:fill="FEFCFD"/>
        </w:rPr>
        <w:t>Product Overview</w:t>
      </w:r>
    </w:p>
    <w:p w14:paraId="4BD5AC77">
      <w:pPr>
        <w:pStyle w:val="6"/>
        <w:widowControl/>
        <w:spacing w:beforeAutospacing="0" w:afterAutospacing="0" w:line="324" w:lineRule="atLeast"/>
        <w:jc w:val="both"/>
      </w:pPr>
      <w:r>
        <w:rPr>
          <w:rFonts w:hint="eastAsia" w:ascii="Verdana" w:hAnsi="Verdana" w:cs="Verdana"/>
          <w:color w:val="333333"/>
          <w:sz w:val="18"/>
          <w:szCs w:val="18"/>
          <w:shd w:val="clear" w:color="auto" w:fill="FEFCFD"/>
        </w:rPr>
        <w:t>The FMUSER FUQ-3214C is a multi-channel SD encoder supporting 4/8/12 CVBS or SDI inputs with</w:t>
      </w:r>
      <w:r>
        <w:rPr>
          <w:rFonts w:hint="eastAsia" w:ascii="Verdana" w:hAnsi="Verdana" w:cs="Verdana"/>
          <w:color w:val="333333"/>
          <w:sz w:val="18"/>
          <w:szCs w:val="18"/>
          <w:shd w:val="clear" w:color="auto" w:fill="FEFCFD"/>
          <w:lang w:val="en-US" w:eastAsia="zh-CN"/>
        </w:rPr>
        <w:t xml:space="preserve"> </w:t>
      </w:r>
      <w:r>
        <w:rPr>
          <w:rFonts w:hint="eastAsia" w:ascii="Verdana" w:hAnsi="Verdana" w:cs="Verdana"/>
          <w:color w:val="333333"/>
          <w:sz w:val="18"/>
          <w:szCs w:val="18"/>
          <w:shd w:val="clear" w:color="auto" w:fill="FEFCFD"/>
        </w:rPr>
        <w:t>MPEG-2 and H.264 encoding. It processes signals by encoding and multiplexing to TS for IP output. This modular device fits in a 1U chassis with up to three independent modules, controlled via a web-based interface. Ideal for CATV digital headends and broadcast distribution systems.</w:t>
      </w:r>
      <w:r>
        <w:rPr>
          <w:rFonts w:ascii="Verdana" w:hAnsi="Verdana" w:cs="Verdana"/>
          <w:color w:val="333333"/>
          <w:sz w:val="18"/>
          <w:szCs w:val="18"/>
          <w:shd w:val="clear" w:color="auto" w:fill="FEFCFD"/>
        </w:rPr>
        <w:t> </w:t>
      </w:r>
    </w:p>
    <w:p w14:paraId="747BFDFD">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4A794D2A">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FUQ-3214C is a multi-channel SD encoder supporting 4/8/12 CVBS or SDI inputs with MPEG-2 and H.264 encoding. It processes signals by encoding and multiplexing to TS for IP output. This modular device fits in a 1U chassis with up to three independent modules, controlled via a web-based interface. Ideal for CATV digital headends and broadcast distribution systems.</w:t>
      </w:r>
      <w:r>
        <w:rPr>
          <w:rFonts w:ascii="Verdana" w:hAnsi="Verdana" w:cs="Verdana"/>
          <w:color w:val="333333"/>
          <w:sz w:val="18"/>
          <w:szCs w:val="18"/>
          <w:shd w:val="clear" w:color="auto" w:fill="FEFCFD"/>
        </w:rPr>
        <w:t> </w:t>
      </w:r>
    </w:p>
    <w:p w14:paraId="06467173">
      <w:pPr>
        <w:pStyle w:val="6"/>
        <w:widowControl/>
        <w:spacing w:beforeAutospacing="0" w:afterAutospacing="0" w:line="324" w:lineRule="atLeast"/>
      </w:pPr>
      <w:r>
        <w:rPr>
          <w:rStyle w:val="10"/>
          <w:rFonts w:ascii="Verdana" w:hAnsi="Verdana" w:cs="Verdana"/>
          <w:color w:val="FF8C00"/>
          <w:sz w:val="18"/>
          <w:szCs w:val="18"/>
          <w:shd w:val="clear" w:color="auto" w:fill="FEFCFD"/>
        </w:rPr>
        <w:t>Principle Chart (per daughter module)</w:t>
      </w:r>
    </w:p>
    <w:p w14:paraId="373EEF8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5588000" cy="4069715"/>
            <wp:effectExtent l="0" t="0" r="12700" b="6985"/>
            <wp:docPr id="6"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16"/>
                    <a:stretch>
                      <a:fillRect/>
                    </a:stretch>
                  </pic:blipFill>
                  <pic:spPr>
                    <a:xfrm>
                      <a:off x="0" y="0"/>
                      <a:ext cx="5588000" cy="4069715"/>
                    </a:xfrm>
                    <a:prstGeom prst="rect">
                      <a:avLst/>
                    </a:prstGeom>
                    <a:noFill/>
                    <a:ln w="9525">
                      <a:noFill/>
                    </a:ln>
                  </pic:spPr>
                </pic:pic>
              </a:graphicData>
            </a:graphic>
          </wp:inline>
        </w:drawing>
      </w:r>
    </w:p>
    <w:p w14:paraId="0DA09976">
      <w:pPr>
        <w:pStyle w:val="6"/>
        <w:widowControl/>
        <w:spacing w:beforeAutospacing="0" w:afterAutospacing="0" w:line="324" w:lineRule="atLeast"/>
      </w:pPr>
      <w:r>
        <w:rPr>
          <w:rStyle w:val="10"/>
          <w:rFonts w:ascii="Verdana" w:hAnsi="Verdana" w:cs="Verdana"/>
          <w:color w:val="FF8C00"/>
          <w:sz w:val="18"/>
          <w:szCs w:val="18"/>
          <w:shd w:val="clear" w:color="auto"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45"/>
        <w:gridCol w:w="1695"/>
        <w:gridCol w:w="570"/>
        <w:gridCol w:w="990"/>
        <w:gridCol w:w="4650"/>
      </w:tblGrid>
      <w:tr w14:paraId="1C7DCA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845" w:type="dxa"/>
            <w:shd w:val="clear" w:color="auto" w:fill="auto"/>
            <w:vAlign w:val="center"/>
          </w:tcPr>
          <w:p w14:paraId="40461B61">
            <w:pPr>
              <w:pStyle w:val="6"/>
              <w:widowControl/>
              <w:spacing w:beforeAutospacing="0" w:afterAutospacing="0" w:line="324" w:lineRule="atLeast"/>
            </w:pPr>
            <w:r>
              <w:rPr>
                <w:rStyle w:val="10"/>
              </w:rPr>
              <w:t>Input</w:t>
            </w:r>
          </w:p>
        </w:tc>
        <w:tc>
          <w:tcPr>
            <w:tcW w:w="7800" w:type="dxa"/>
            <w:gridSpan w:val="4"/>
            <w:shd w:val="clear" w:color="auto" w:fill="auto"/>
            <w:vAlign w:val="center"/>
          </w:tcPr>
          <w:p w14:paraId="6DE13E28">
            <w:pPr>
              <w:pStyle w:val="6"/>
              <w:widowControl/>
              <w:spacing w:beforeAutospacing="0" w:afterAutospacing="0" w:line="324" w:lineRule="atLeast"/>
            </w:pPr>
            <w:r>
              <w:t>4/8/12 CVBS input , DB15-To-RCA interface ---OptionⅠ</w:t>
            </w:r>
          </w:p>
          <w:p w14:paraId="7B9E3EC6">
            <w:pPr>
              <w:pStyle w:val="6"/>
              <w:widowControl/>
              <w:spacing w:beforeAutospacing="0" w:afterAutospacing="0" w:line="324" w:lineRule="atLeast"/>
            </w:pPr>
            <w:r>
              <w:t>4/8/12 SDI input, BNC interface ---OptionⅡ</w:t>
            </w:r>
          </w:p>
        </w:tc>
      </w:tr>
      <w:tr w14:paraId="4ED6F2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restart"/>
            <w:shd w:val="clear" w:color="auto" w:fill="auto"/>
            <w:vAlign w:val="center"/>
          </w:tcPr>
          <w:p w14:paraId="330A75B9">
            <w:pPr>
              <w:pStyle w:val="6"/>
              <w:widowControl/>
              <w:spacing w:beforeAutospacing="0" w:afterAutospacing="0" w:line="324" w:lineRule="atLeast"/>
            </w:pPr>
            <w:r>
              <w:rPr>
                <w:rStyle w:val="10"/>
              </w:rPr>
              <w:t>Video</w:t>
            </w:r>
          </w:p>
        </w:tc>
        <w:tc>
          <w:tcPr>
            <w:tcW w:w="1695" w:type="dxa"/>
            <w:vMerge w:val="restart"/>
            <w:shd w:val="clear" w:color="auto" w:fill="auto"/>
            <w:vAlign w:val="center"/>
          </w:tcPr>
          <w:p w14:paraId="55E2D353">
            <w:pPr>
              <w:pStyle w:val="6"/>
              <w:widowControl/>
              <w:spacing w:beforeAutospacing="0" w:afterAutospacing="0" w:line="324" w:lineRule="atLeast"/>
            </w:pPr>
            <w:r>
              <w:t>Resolution</w:t>
            </w:r>
          </w:p>
        </w:tc>
        <w:tc>
          <w:tcPr>
            <w:tcW w:w="1560" w:type="dxa"/>
            <w:gridSpan w:val="2"/>
            <w:shd w:val="clear" w:color="auto" w:fill="auto"/>
            <w:vAlign w:val="center"/>
          </w:tcPr>
          <w:p w14:paraId="4AD3480D">
            <w:pPr>
              <w:pStyle w:val="6"/>
              <w:widowControl/>
              <w:spacing w:beforeAutospacing="0" w:afterAutospacing="0" w:line="324" w:lineRule="atLeast"/>
            </w:pPr>
            <w:r>
              <w:t>Input</w:t>
            </w:r>
          </w:p>
        </w:tc>
        <w:tc>
          <w:tcPr>
            <w:tcW w:w="4530" w:type="dxa"/>
            <w:shd w:val="clear" w:color="auto" w:fill="auto"/>
            <w:vAlign w:val="center"/>
          </w:tcPr>
          <w:p w14:paraId="5DA862B5">
            <w:pPr>
              <w:pStyle w:val="6"/>
              <w:widowControl/>
              <w:spacing w:beforeAutospacing="0" w:afterAutospacing="0" w:line="324" w:lineRule="atLeast"/>
            </w:pPr>
            <w:r>
              <w:t>Output</w:t>
            </w:r>
          </w:p>
        </w:tc>
      </w:tr>
      <w:tr w14:paraId="53BE97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15" w:hRule="atLeast"/>
          <w:tblCellSpacing w:w="0" w:type="dxa"/>
        </w:trPr>
        <w:tc>
          <w:tcPr>
            <w:tcW w:w="1845" w:type="dxa"/>
            <w:vMerge w:val="continue"/>
            <w:shd w:val="clear" w:color="auto" w:fill="auto"/>
            <w:vAlign w:val="center"/>
          </w:tcPr>
          <w:p w14:paraId="20DA060F">
            <w:pPr>
              <w:jc w:val="left"/>
              <w:rPr>
                <w:rFonts w:ascii="宋体"/>
                <w:sz w:val="24"/>
                <w:szCs w:val="24"/>
              </w:rPr>
            </w:pPr>
          </w:p>
        </w:tc>
        <w:tc>
          <w:tcPr>
            <w:tcW w:w="1695" w:type="dxa"/>
            <w:vMerge w:val="continue"/>
            <w:shd w:val="clear" w:color="auto" w:fill="auto"/>
            <w:vAlign w:val="center"/>
          </w:tcPr>
          <w:p w14:paraId="7F1D9C1F">
            <w:pPr>
              <w:jc w:val="left"/>
              <w:rPr>
                <w:rFonts w:ascii="宋体"/>
                <w:sz w:val="24"/>
                <w:szCs w:val="24"/>
              </w:rPr>
            </w:pPr>
          </w:p>
        </w:tc>
        <w:tc>
          <w:tcPr>
            <w:tcW w:w="1560" w:type="dxa"/>
            <w:gridSpan w:val="2"/>
            <w:shd w:val="clear" w:color="auto" w:fill="auto"/>
            <w:vAlign w:val="center"/>
          </w:tcPr>
          <w:p w14:paraId="610443AE">
            <w:pPr>
              <w:pStyle w:val="6"/>
              <w:widowControl/>
              <w:spacing w:beforeAutospacing="0" w:afterAutospacing="0" w:line="324" w:lineRule="atLeast"/>
            </w:pPr>
            <w:r>
              <w:t>720*576 @50i</w:t>
            </w:r>
          </w:p>
        </w:tc>
        <w:tc>
          <w:tcPr>
            <w:tcW w:w="4530" w:type="dxa"/>
            <w:shd w:val="clear" w:color="auto" w:fill="auto"/>
            <w:vAlign w:val="center"/>
          </w:tcPr>
          <w:p w14:paraId="3DD8FC86">
            <w:pPr>
              <w:pStyle w:val="6"/>
              <w:widowControl/>
              <w:spacing w:beforeAutospacing="0" w:afterAutospacing="0" w:line="324" w:lineRule="atLeast"/>
            </w:pPr>
            <w:r>
              <w:t>720*576/352*288/320*240/320*180/176*144</w:t>
            </w:r>
          </w:p>
          <w:p w14:paraId="3176DD56">
            <w:pPr>
              <w:pStyle w:val="6"/>
              <w:widowControl/>
              <w:spacing w:beforeAutospacing="0" w:afterAutospacing="0" w:line="324" w:lineRule="atLeast"/>
            </w:pPr>
            <w:r>
              <w:t>/160*120/160*90@50Hz</w:t>
            </w:r>
          </w:p>
        </w:tc>
      </w:tr>
      <w:tr w14:paraId="3115C5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1140FC28">
            <w:pPr>
              <w:jc w:val="left"/>
              <w:rPr>
                <w:rFonts w:ascii="宋体"/>
                <w:sz w:val="24"/>
                <w:szCs w:val="24"/>
              </w:rPr>
            </w:pPr>
          </w:p>
        </w:tc>
        <w:tc>
          <w:tcPr>
            <w:tcW w:w="1695" w:type="dxa"/>
            <w:vMerge w:val="continue"/>
            <w:shd w:val="clear" w:color="auto" w:fill="auto"/>
            <w:vAlign w:val="center"/>
          </w:tcPr>
          <w:p w14:paraId="61E3EDC9">
            <w:pPr>
              <w:jc w:val="left"/>
              <w:rPr>
                <w:rFonts w:ascii="宋体"/>
                <w:sz w:val="24"/>
                <w:szCs w:val="24"/>
              </w:rPr>
            </w:pPr>
          </w:p>
        </w:tc>
        <w:tc>
          <w:tcPr>
            <w:tcW w:w="1560" w:type="dxa"/>
            <w:gridSpan w:val="2"/>
            <w:shd w:val="clear" w:color="auto" w:fill="auto"/>
            <w:vAlign w:val="center"/>
          </w:tcPr>
          <w:p w14:paraId="20E0328C">
            <w:pPr>
              <w:pStyle w:val="6"/>
              <w:widowControl/>
              <w:spacing w:beforeAutospacing="0" w:afterAutospacing="0" w:line="324" w:lineRule="atLeast"/>
            </w:pPr>
            <w:r>
              <w:t>720*480 @60i</w:t>
            </w:r>
          </w:p>
        </w:tc>
        <w:tc>
          <w:tcPr>
            <w:tcW w:w="4530" w:type="dxa"/>
            <w:shd w:val="clear" w:color="auto" w:fill="auto"/>
            <w:vAlign w:val="center"/>
          </w:tcPr>
          <w:p w14:paraId="1C8FD9AE">
            <w:pPr>
              <w:pStyle w:val="6"/>
              <w:widowControl/>
              <w:spacing w:beforeAutospacing="0" w:afterAutospacing="0" w:line="324" w:lineRule="atLeast"/>
            </w:pPr>
            <w:r>
              <w:t>720*480/352*288/320*240/320*180/176*144</w:t>
            </w:r>
          </w:p>
          <w:p w14:paraId="2C9808E4">
            <w:pPr>
              <w:pStyle w:val="6"/>
              <w:widowControl/>
              <w:spacing w:beforeAutospacing="0" w:afterAutospacing="0" w:line="324" w:lineRule="atLeast"/>
            </w:pPr>
            <w:r>
              <w:t>/160*120/160*90@60Hz</w:t>
            </w:r>
          </w:p>
        </w:tc>
      </w:tr>
      <w:tr w14:paraId="533AD0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5AAEB1CA">
            <w:pPr>
              <w:jc w:val="left"/>
              <w:rPr>
                <w:rFonts w:ascii="宋体"/>
                <w:sz w:val="24"/>
                <w:szCs w:val="24"/>
              </w:rPr>
            </w:pPr>
          </w:p>
        </w:tc>
        <w:tc>
          <w:tcPr>
            <w:tcW w:w="1695" w:type="dxa"/>
            <w:shd w:val="clear" w:color="auto" w:fill="auto"/>
            <w:vAlign w:val="center"/>
          </w:tcPr>
          <w:p w14:paraId="1E014F1D">
            <w:pPr>
              <w:pStyle w:val="6"/>
              <w:widowControl/>
              <w:spacing w:beforeAutospacing="0" w:afterAutospacing="0" w:line="324" w:lineRule="atLeast"/>
            </w:pPr>
            <w:r>
              <w:t>Encoding format</w:t>
            </w:r>
          </w:p>
        </w:tc>
        <w:tc>
          <w:tcPr>
            <w:tcW w:w="6090" w:type="dxa"/>
            <w:gridSpan w:val="3"/>
            <w:shd w:val="clear" w:color="auto" w:fill="auto"/>
            <w:vAlign w:val="center"/>
          </w:tcPr>
          <w:p w14:paraId="10966783">
            <w:pPr>
              <w:pStyle w:val="6"/>
              <w:widowControl/>
              <w:spacing w:beforeAutospacing="0" w:afterAutospacing="0" w:line="324" w:lineRule="atLeast"/>
            </w:pPr>
            <w:r>
              <w:t>MPEG-2, MPEG4 AVC/H.264</w:t>
            </w:r>
          </w:p>
        </w:tc>
      </w:tr>
      <w:tr w14:paraId="3DD432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2EA46EA4">
            <w:pPr>
              <w:jc w:val="left"/>
              <w:rPr>
                <w:rFonts w:ascii="宋体"/>
                <w:sz w:val="24"/>
                <w:szCs w:val="24"/>
              </w:rPr>
            </w:pPr>
          </w:p>
        </w:tc>
        <w:tc>
          <w:tcPr>
            <w:tcW w:w="1695" w:type="dxa"/>
            <w:shd w:val="clear" w:color="auto" w:fill="auto"/>
            <w:vAlign w:val="center"/>
          </w:tcPr>
          <w:p w14:paraId="58573292">
            <w:pPr>
              <w:pStyle w:val="6"/>
              <w:widowControl/>
              <w:spacing w:beforeAutospacing="0" w:afterAutospacing="0" w:line="324" w:lineRule="atLeast"/>
            </w:pPr>
            <w:r>
              <w:t>Bit-rate</w:t>
            </w:r>
          </w:p>
        </w:tc>
        <w:tc>
          <w:tcPr>
            <w:tcW w:w="6090" w:type="dxa"/>
            <w:gridSpan w:val="3"/>
            <w:shd w:val="clear" w:color="auto" w:fill="auto"/>
            <w:vAlign w:val="center"/>
          </w:tcPr>
          <w:p w14:paraId="561FC484">
            <w:pPr>
              <w:pStyle w:val="6"/>
              <w:widowControl/>
              <w:spacing w:beforeAutospacing="0" w:afterAutospacing="0" w:line="324" w:lineRule="atLeast"/>
            </w:pPr>
            <w:r>
              <w:t>0.5~5Mbps</w:t>
            </w:r>
          </w:p>
        </w:tc>
      </w:tr>
      <w:tr w14:paraId="7A78DB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31F5129C">
            <w:pPr>
              <w:jc w:val="left"/>
              <w:rPr>
                <w:rFonts w:ascii="宋体"/>
                <w:sz w:val="24"/>
                <w:szCs w:val="24"/>
              </w:rPr>
            </w:pPr>
          </w:p>
        </w:tc>
        <w:tc>
          <w:tcPr>
            <w:tcW w:w="1695" w:type="dxa"/>
            <w:shd w:val="clear" w:color="auto" w:fill="auto"/>
            <w:vAlign w:val="center"/>
          </w:tcPr>
          <w:p w14:paraId="0C763E99">
            <w:pPr>
              <w:pStyle w:val="6"/>
              <w:widowControl/>
              <w:spacing w:beforeAutospacing="0" w:afterAutospacing="0" w:line="324" w:lineRule="atLeast"/>
            </w:pPr>
            <w:r>
              <w:t>Rate Control</w:t>
            </w:r>
          </w:p>
        </w:tc>
        <w:tc>
          <w:tcPr>
            <w:tcW w:w="6090" w:type="dxa"/>
            <w:gridSpan w:val="3"/>
            <w:shd w:val="clear" w:color="auto" w:fill="auto"/>
            <w:vAlign w:val="center"/>
          </w:tcPr>
          <w:p w14:paraId="33A241D0">
            <w:pPr>
              <w:pStyle w:val="6"/>
              <w:widowControl/>
              <w:spacing w:beforeAutospacing="0" w:afterAutospacing="0" w:line="324" w:lineRule="atLeast"/>
            </w:pPr>
            <w:r>
              <w:t>CBR/VBR</w:t>
            </w:r>
          </w:p>
        </w:tc>
      </w:tr>
      <w:tr w14:paraId="0ABD1B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A8BD40E">
            <w:pPr>
              <w:jc w:val="left"/>
              <w:rPr>
                <w:rFonts w:ascii="宋体"/>
                <w:sz w:val="24"/>
                <w:szCs w:val="24"/>
              </w:rPr>
            </w:pPr>
          </w:p>
        </w:tc>
        <w:tc>
          <w:tcPr>
            <w:tcW w:w="1695" w:type="dxa"/>
            <w:shd w:val="clear" w:color="auto" w:fill="auto"/>
            <w:vAlign w:val="center"/>
          </w:tcPr>
          <w:p w14:paraId="2F279B23">
            <w:pPr>
              <w:pStyle w:val="6"/>
              <w:widowControl/>
              <w:spacing w:beforeAutospacing="0" w:afterAutospacing="0" w:line="324" w:lineRule="atLeast"/>
            </w:pPr>
            <w:r>
              <w:t>GOP Structure</w:t>
            </w:r>
          </w:p>
        </w:tc>
        <w:tc>
          <w:tcPr>
            <w:tcW w:w="6090" w:type="dxa"/>
            <w:gridSpan w:val="3"/>
            <w:shd w:val="clear" w:color="auto" w:fill="auto"/>
            <w:vAlign w:val="center"/>
          </w:tcPr>
          <w:p w14:paraId="660674FF">
            <w:pPr>
              <w:pStyle w:val="6"/>
              <w:widowControl/>
              <w:spacing w:beforeAutospacing="0" w:afterAutospacing="0" w:line="324" w:lineRule="atLeast"/>
            </w:pPr>
            <w:r>
              <w:t>IPPP, IBPBP, IBBPB, IBBBP</w:t>
            </w:r>
          </w:p>
        </w:tc>
      </w:tr>
      <w:tr w14:paraId="25A0A6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4C0536C4">
            <w:pPr>
              <w:jc w:val="left"/>
              <w:rPr>
                <w:rFonts w:ascii="宋体"/>
                <w:sz w:val="24"/>
                <w:szCs w:val="24"/>
              </w:rPr>
            </w:pPr>
          </w:p>
        </w:tc>
        <w:tc>
          <w:tcPr>
            <w:tcW w:w="1695" w:type="dxa"/>
            <w:shd w:val="clear" w:color="auto" w:fill="auto"/>
            <w:vAlign w:val="center"/>
          </w:tcPr>
          <w:p w14:paraId="25A3F818">
            <w:pPr>
              <w:pStyle w:val="6"/>
              <w:widowControl/>
              <w:spacing w:beforeAutospacing="0" w:afterAutospacing="0" w:line="324" w:lineRule="atLeast"/>
            </w:pPr>
            <w:r>
              <w:t>Aspect Ratio</w:t>
            </w:r>
          </w:p>
        </w:tc>
        <w:tc>
          <w:tcPr>
            <w:tcW w:w="6090" w:type="dxa"/>
            <w:gridSpan w:val="3"/>
            <w:shd w:val="clear" w:color="auto" w:fill="auto"/>
            <w:vAlign w:val="center"/>
          </w:tcPr>
          <w:p w14:paraId="55DD00D2">
            <w:pPr>
              <w:pStyle w:val="6"/>
              <w:widowControl/>
              <w:spacing w:beforeAutospacing="0" w:afterAutospacing="0" w:line="324" w:lineRule="atLeast"/>
            </w:pPr>
            <w:r>
              <w:t>4:3, 16:9</w:t>
            </w:r>
          </w:p>
        </w:tc>
      </w:tr>
      <w:tr w14:paraId="1C5F53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78C3CFCC">
            <w:pPr>
              <w:pStyle w:val="6"/>
              <w:widowControl/>
              <w:spacing w:beforeAutospacing="0" w:afterAutospacing="0" w:line="324" w:lineRule="atLeast"/>
            </w:pPr>
            <w:r>
              <w:rPr>
                <w:rStyle w:val="10"/>
              </w:rPr>
              <w:t>Audio</w:t>
            </w:r>
          </w:p>
        </w:tc>
        <w:tc>
          <w:tcPr>
            <w:tcW w:w="1695" w:type="dxa"/>
            <w:shd w:val="clear" w:color="auto" w:fill="auto"/>
            <w:vAlign w:val="center"/>
          </w:tcPr>
          <w:p w14:paraId="7078BCC5">
            <w:pPr>
              <w:pStyle w:val="6"/>
              <w:widowControl/>
              <w:spacing w:beforeAutospacing="0" w:afterAutospacing="0" w:line="324" w:lineRule="atLeast"/>
            </w:pPr>
            <w:r>
              <w:t>Encoding format</w:t>
            </w:r>
          </w:p>
        </w:tc>
        <w:tc>
          <w:tcPr>
            <w:tcW w:w="6090" w:type="dxa"/>
            <w:gridSpan w:val="3"/>
            <w:shd w:val="clear" w:color="auto" w:fill="auto"/>
            <w:vAlign w:val="center"/>
          </w:tcPr>
          <w:p w14:paraId="42A72370">
            <w:pPr>
              <w:pStyle w:val="6"/>
              <w:widowControl/>
              <w:spacing w:beforeAutospacing="0" w:afterAutospacing="0" w:line="324" w:lineRule="atLeast"/>
            </w:pPr>
            <w:r>
              <w:t>MPEG1 Layer 2, LC-AAC, HE-AAC</w:t>
            </w:r>
          </w:p>
        </w:tc>
      </w:tr>
      <w:tr w14:paraId="20794B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012DEE13">
            <w:pPr>
              <w:jc w:val="left"/>
              <w:rPr>
                <w:rFonts w:ascii="宋体"/>
                <w:sz w:val="24"/>
                <w:szCs w:val="24"/>
              </w:rPr>
            </w:pPr>
          </w:p>
        </w:tc>
        <w:tc>
          <w:tcPr>
            <w:tcW w:w="1695" w:type="dxa"/>
            <w:shd w:val="clear" w:color="auto" w:fill="auto"/>
            <w:vAlign w:val="center"/>
          </w:tcPr>
          <w:p w14:paraId="1B92CFF3">
            <w:pPr>
              <w:pStyle w:val="6"/>
              <w:widowControl/>
              <w:spacing w:beforeAutospacing="0" w:afterAutospacing="0" w:line="324" w:lineRule="atLeast"/>
            </w:pPr>
            <w:r>
              <w:t>Sampling rate</w:t>
            </w:r>
          </w:p>
        </w:tc>
        <w:tc>
          <w:tcPr>
            <w:tcW w:w="6090" w:type="dxa"/>
            <w:gridSpan w:val="3"/>
            <w:shd w:val="clear" w:color="auto" w:fill="auto"/>
            <w:vAlign w:val="center"/>
          </w:tcPr>
          <w:p w14:paraId="6FA251EB">
            <w:pPr>
              <w:pStyle w:val="6"/>
              <w:widowControl/>
              <w:spacing w:beforeAutospacing="0" w:afterAutospacing="0" w:line="324" w:lineRule="atLeast"/>
            </w:pPr>
            <w:r>
              <w:t>48KHz</w:t>
            </w:r>
          </w:p>
        </w:tc>
      </w:tr>
      <w:tr w14:paraId="3F4865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482A456F">
            <w:pPr>
              <w:jc w:val="left"/>
              <w:rPr>
                <w:rFonts w:ascii="宋体"/>
                <w:sz w:val="24"/>
                <w:szCs w:val="24"/>
              </w:rPr>
            </w:pPr>
          </w:p>
        </w:tc>
        <w:tc>
          <w:tcPr>
            <w:tcW w:w="1695" w:type="dxa"/>
            <w:shd w:val="clear" w:color="auto" w:fill="auto"/>
            <w:vAlign w:val="center"/>
          </w:tcPr>
          <w:p w14:paraId="0DA36A51">
            <w:pPr>
              <w:pStyle w:val="6"/>
              <w:widowControl/>
              <w:spacing w:beforeAutospacing="0" w:afterAutospacing="0" w:line="324" w:lineRule="atLeast"/>
            </w:pPr>
            <w:r>
              <w:t>Bits per sample</w:t>
            </w:r>
          </w:p>
        </w:tc>
        <w:tc>
          <w:tcPr>
            <w:tcW w:w="6090" w:type="dxa"/>
            <w:gridSpan w:val="3"/>
            <w:shd w:val="clear" w:color="auto" w:fill="auto"/>
            <w:vAlign w:val="center"/>
          </w:tcPr>
          <w:p w14:paraId="3C981E5B">
            <w:pPr>
              <w:pStyle w:val="6"/>
              <w:widowControl/>
              <w:spacing w:beforeAutospacing="0" w:afterAutospacing="0" w:line="324" w:lineRule="atLeast"/>
            </w:pPr>
            <w:r>
              <w:t>32-bit</w:t>
            </w:r>
          </w:p>
        </w:tc>
      </w:tr>
      <w:tr w14:paraId="48B571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175F3132">
            <w:pPr>
              <w:jc w:val="left"/>
              <w:rPr>
                <w:rFonts w:ascii="宋体"/>
                <w:sz w:val="24"/>
                <w:szCs w:val="24"/>
              </w:rPr>
            </w:pPr>
          </w:p>
        </w:tc>
        <w:tc>
          <w:tcPr>
            <w:tcW w:w="1695" w:type="dxa"/>
            <w:shd w:val="clear" w:color="auto" w:fill="auto"/>
            <w:vAlign w:val="center"/>
          </w:tcPr>
          <w:p w14:paraId="0633453F">
            <w:pPr>
              <w:pStyle w:val="6"/>
              <w:widowControl/>
              <w:spacing w:beforeAutospacing="0" w:afterAutospacing="0" w:line="324" w:lineRule="atLeast"/>
            </w:pPr>
            <w:r>
              <w:t>Audio Gain</w:t>
            </w:r>
          </w:p>
        </w:tc>
        <w:tc>
          <w:tcPr>
            <w:tcW w:w="6090" w:type="dxa"/>
            <w:gridSpan w:val="3"/>
            <w:shd w:val="clear" w:color="auto" w:fill="auto"/>
            <w:vAlign w:val="center"/>
          </w:tcPr>
          <w:p w14:paraId="05954C41">
            <w:pPr>
              <w:pStyle w:val="6"/>
              <w:widowControl/>
              <w:spacing w:beforeAutospacing="0" w:afterAutospacing="0" w:line="324" w:lineRule="atLeast"/>
            </w:pPr>
            <w:r>
              <w:t>-20~+12 adjustable</w:t>
            </w:r>
          </w:p>
        </w:tc>
      </w:tr>
      <w:tr w14:paraId="7E120D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1E5E38FA">
            <w:pPr>
              <w:jc w:val="left"/>
              <w:rPr>
                <w:rFonts w:ascii="宋体"/>
                <w:sz w:val="24"/>
                <w:szCs w:val="24"/>
              </w:rPr>
            </w:pPr>
          </w:p>
        </w:tc>
        <w:tc>
          <w:tcPr>
            <w:tcW w:w="1695" w:type="dxa"/>
            <w:shd w:val="clear" w:color="auto" w:fill="auto"/>
            <w:vAlign w:val="center"/>
          </w:tcPr>
          <w:p w14:paraId="6F5D347E">
            <w:pPr>
              <w:pStyle w:val="6"/>
              <w:widowControl/>
              <w:spacing w:beforeAutospacing="0" w:afterAutospacing="0" w:line="324" w:lineRule="atLeast"/>
            </w:pPr>
            <w:r>
              <w:t>Bit-rate</w:t>
            </w:r>
          </w:p>
        </w:tc>
        <w:tc>
          <w:tcPr>
            <w:tcW w:w="6090" w:type="dxa"/>
            <w:gridSpan w:val="3"/>
            <w:shd w:val="clear" w:color="auto" w:fill="auto"/>
            <w:vAlign w:val="center"/>
          </w:tcPr>
          <w:p w14:paraId="12412AFB">
            <w:pPr>
              <w:pStyle w:val="6"/>
              <w:widowControl/>
              <w:spacing w:beforeAutospacing="0" w:afterAutospacing="0" w:line="324" w:lineRule="atLeast"/>
            </w:pPr>
            <w:r>
              <w:t>48Kbps~384Kbps (each channel)</w:t>
            </w:r>
          </w:p>
        </w:tc>
      </w:tr>
      <w:tr w14:paraId="6EF7DF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845" w:type="dxa"/>
            <w:shd w:val="clear" w:color="auto" w:fill="auto"/>
            <w:vAlign w:val="center"/>
          </w:tcPr>
          <w:p w14:paraId="332AD817">
            <w:pPr>
              <w:pStyle w:val="6"/>
              <w:widowControl/>
              <w:spacing w:beforeAutospacing="0" w:afterAutospacing="0" w:line="324" w:lineRule="atLeast"/>
            </w:pPr>
            <w:r>
              <w:rPr>
                <w:rStyle w:val="10"/>
              </w:rPr>
              <w:t>Stream output</w:t>
            </w:r>
          </w:p>
        </w:tc>
        <w:tc>
          <w:tcPr>
            <w:tcW w:w="7800" w:type="dxa"/>
            <w:gridSpan w:val="4"/>
            <w:shd w:val="clear" w:color="auto" w:fill="auto"/>
            <w:vAlign w:val="center"/>
          </w:tcPr>
          <w:p w14:paraId="3BDFD686">
            <w:pPr>
              <w:pStyle w:val="6"/>
              <w:widowControl/>
              <w:spacing w:beforeAutospacing="0" w:afterAutospacing="0" w:line="324" w:lineRule="atLeast"/>
            </w:pPr>
            <w:r>
              <w:t>IP (1*MPTS and 4*SPTS) output over UDP and RTP/RTSP (unicast/multicast) per module,100M/1000M self-adaption</w:t>
            </w:r>
          </w:p>
        </w:tc>
      </w:tr>
      <w:tr w14:paraId="5C8030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restart"/>
            <w:shd w:val="clear" w:color="auto" w:fill="auto"/>
            <w:vAlign w:val="center"/>
          </w:tcPr>
          <w:p w14:paraId="0E82F452">
            <w:pPr>
              <w:pStyle w:val="6"/>
              <w:widowControl/>
              <w:spacing w:beforeAutospacing="0" w:afterAutospacing="0" w:line="324" w:lineRule="atLeast"/>
            </w:pPr>
            <w:r>
              <w:rPr>
                <w:rStyle w:val="10"/>
              </w:rPr>
              <w:t>System function</w:t>
            </w:r>
          </w:p>
        </w:tc>
        <w:tc>
          <w:tcPr>
            <w:tcW w:w="7800" w:type="dxa"/>
            <w:gridSpan w:val="4"/>
            <w:shd w:val="clear" w:color="auto" w:fill="auto"/>
            <w:vAlign w:val="center"/>
          </w:tcPr>
          <w:p w14:paraId="0B77618A">
            <w:pPr>
              <w:pStyle w:val="6"/>
              <w:widowControl/>
              <w:spacing w:beforeAutospacing="0" w:afterAutospacing="0" w:line="324" w:lineRule="atLeast"/>
            </w:pPr>
            <w:r>
              <w:t>Network management (WEB)</w:t>
            </w:r>
          </w:p>
        </w:tc>
      </w:tr>
      <w:tr w14:paraId="140D5B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1C01222C">
            <w:pPr>
              <w:jc w:val="left"/>
              <w:rPr>
                <w:rFonts w:ascii="宋体"/>
                <w:sz w:val="24"/>
                <w:szCs w:val="24"/>
              </w:rPr>
            </w:pPr>
          </w:p>
        </w:tc>
        <w:tc>
          <w:tcPr>
            <w:tcW w:w="7800" w:type="dxa"/>
            <w:gridSpan w:val="4"/>
            <w:shd w:val="clear" w:color="auto" w:fill="auto"/>
            <w:vAlign w:val="center"/>
          </w:tcPr>
          <w:p w14:paraId="23C1185F">
            <w:pPr>
              <w:pStyle w:val="6"/>
              <w:widowControl/>
              <w:spacing w:beforeAutospacing="0" w:afterAutospacing="0" w:line="324" w:lineRule="atLeast"/>
            </w:pPr>
            <w:r>
              <w:t>Chinese and English language</w:t>
            </w:r>
          </w:p>
        </w:tc>
      </w:tr>
      <w:tr w14:paraId="7B7F07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6B2E3C4C">
            <w:pPr>
              <w:jc w:val="left"/>
              <w:rPr>
                <w:rFonts w:ascii="宋体"/>
                <w:sz w:val="24"/>
                <w:szCs w:val="24"/>
              </w:rPr>
            </w:pPr>
          </w:p>
        </w:tc>
        <w:tc>
          <w:tcPr>
            <w:tcW w:w="7800" w:type="dxa"/>
            <w:gridSpan w:val="4"/>
            <w:shd w:val="clear" w:color="auto" w:fill="auto"/>
            <w:vAlign w:val="center"/>
          </w:tcPr>
          <w:p w14:paraId="3EA791DD">
            <w:pPr>
              <w:pStyle w:val="6"/>
              <w:widowControl/>
              <w:spacing w:beforeAutospacing="0" w:afterAutospacing="0" w:line="324" w:lineRule="atLeast"/>
            </w:pPr>
            <w:r>
              <w:t>Ethernet software upgrade</w:t>
            </w:r>
          </w:p>
        </w:tc>
      </w:tr>
      <w:tr w14:paraId="2454FA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2563DC35">
            <w:pPr>
              <w:pStyle w:val="6"/>
              <w:widowControl/>
              <w:spacing w:beforeAutospacing="0" w:afterAutospacing="0" w:line="324" w:lineRule="atLeast"/>
            </w:pPr>
            <w:r>
              <w:rPr>
                <w:rStyle w:val="10"/>
              </w:rPr>
              <w:t>Miscellaneous</w:t>
            </w:r>
          </w:p>
        </w:tc>
        <w:tc>
          <w:tcPr>
            <w:tcW w:w="2265" w:type="dxa"/>
            <w:gridSpan w:val="2"/>
            <w:shd w:val="clear" w:color="auto" w:fill="auto"/>
            <w:vAlign w:val="center"/>
          </w:tcPr>
          <w:p w14:paraId="734A7594">
            <w:pPr>
              <w:pStyle w:val="6"/>
              <w:widowControl/>
              <w:spacing w:beforeAutospacing="0" w:afterAutospacing="0" w:line="324" w:lineRule="atLeast"/>
            </w:pPr>
            <w:r>
              <w:t>Dimension(W×L×H)</w:t>
            </w:r>
          </w:p>
        </w:tc>
        <w:tc>
          <w:tcPr>
            <w:tcW w:w="5535" w:type="dxa"/>
            <w:gridSpan w:val="2"/>
            <w:shd w:val="clear" w:color="auto" w:fill="auto"/>
            <w:vAlign w:val="center"/>
          </w:tcPr>
          <w:p w14:paraId="79C3DFFF">
            <w:pPr>
              <w:pStyle w:val="6"/>
              <w:widowControl/>
              <w:spacing w:beforeAutospacing="0" w:afterAutospacing="0" w:line="324" w:lineRule="atLeast"/>
            </w:pPr>
            <w:r>
              <w:t>482mm×328mm×44mm</w:t>
            </w:r>
          </w:p>
        </w:tc>
      </w:tr>
      <w:tr w14:paraId="4B9C65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09DD8B7F">
            <w:pPr>
              <w:jc w:val="left"/>
              <w:rPr>
                <w:rFonts w:ascii="宋体"/>
                <w:sz w:val="24"/>
                <w:szCs w:val="24"/>
              </w:rPr>
            </w:pPr>
          </w:p>
        </w:tc>
        <w:tc>
          <w:tcPr>
            <w:tcW w:w="2265" w:type="dxa"/>
            <w:gridSpan w:val="2"/>
            <w:shd w:val="clear" w:color="auto" w:fill="auto"/>
            <w:vAlign w:val="center"/>
          </w:tcPr>
          <w:p w14:paraId="601E54F5">
            <w:pPr>
              <w:pStyle w:val="6"/>
              <w:widowControl/>
              <w:spacing w:beforeAutospacing="0" w:afterAutospacing="0" w:line="324" w:lineRule="atLeast"/>
            </w:pPr>
            <w:r>
              <w:t>Environment</w:t>
            </w:r>
          </w:p>
        </w:tc>
        <w:tc>
          <w:tcPr>
            <w:tcW w:w="5535" w:type="dxa"/>
            <w:gridSpan w:val="2"/>
            <w:shd w:val="clear" w:color="auto" w:fill="auto"/>
            <w:vAlign w:val="center"/>
          </w:tcPr>
          <w:p w14:paraId="20CF30DE">
            <w:pPr>
              <w:pStyle w:val="6"/>
              <w:widowControl/>
              <w:spacing w:beforeAutospacing="0" w:afterAutospacing="0" w:line="324" w:lineRule="atLeast"/>
            </w:pPr>
            <w:r>
              <w:t>0~45℃(work)；-20~80℃（Storage）</w:t>
            </w:r>
          </w:p>
        </w:tc>
      </w:tr>
      <w:tr w14:paraId="40C1B7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36090A3C">
            <w:pPr>
              <w:jc w:val="left"/>
              <w:rPr>
                <w:rFonts w:ascii="宋体"/>
                <w:sz w:val="24"/>
                <w:szCs w:val="24"/>
              </w:rPr>
            </w:pPr>
          </w:p>
        </w:tc>
        <w:tc>
          <w:tcPr>
            <w:tcW w:w="2265" w:type="dxa"/>
            <w:gridSpan w:val="2"/>
            <w:shd w:val="clear" w:color="auto" w:fill="auto"/>
            <w:vAlign w:val="center"/>
          </w:tcPr>
          <w:p w14:paraId="30F9F55C">
            <w:pPr>
              <w:pStyle w:val="6"/>
              <w:widowControl/>
              <w:spacing w:beforeAutospacing="0" w:afterAutospacing="0" w:line="324" w:lineRule="atLeast"/>
            </w:pPr>
            <w:r>
              <w:t>Power requirements </w:t>
            </w:r>
          </w:p>
        </w:tc>
        <w:tc>
          <w:tcPr>
            <w:tcW w:w="5535" w:type="dxa"/>
            <w:gridSpan w:val="2"/>
            <w:shd w:val="clear" w:color="auto" w:fill="auto"/>
            <w:vAlign w:val="center"/>
          </w:tcPr>
          <w:p w14:paraId="35A2AACC">
            <w:pPr>
              <w:pStyle w:val="6"/>
              <w:widowControl/>
              <w:spacing w:beforeAutospacing="0" w:afterAutospacing="0" w:line="324" w:lineRule="atLeast"/>
            </w:pPr>
            <w:r>
              <w:t>AC 110V± 10%, 50/60Hz, AC 220 ± 10%, 50/60Hz</w:t>
            </w:r>
          </w:p>
        </w:tc>
      </w:tr>
    </w:tbl>
    <w:p w14:paraId="67107D38">
      <w:pPr>
        <w:pStyle w:val="6"/>
        <w:widowControl/>
        <w:spacing w:beforeAutospacing="0" w:afterAutospacing="0" w:line="324" w:lineRule="atLeast"/>
      </w:pPr>
      <w:r>
        <w:rPr>
          <w:rFonts w:ascii="Verdana" w:hAnsi="Verdana" w:cs="Verdana"/>
          <w:color w:val="333333"/>
          <w:sz w:val="18"/>
          <w:szCs w:val="18"/>
          <w:shd w:val="clear" w:color="auto" w:fill="FEFCFD"/>
        </w:rPr>
        <w:t> </w:t>
      </w:r>
    </w:p>
    <w:p w14:paraId="45F86999">
      <w:pPr>
        <w:pStyle w:val="6"/>
        <w:widowControl/>
        <w:spacing w:beforeAutospacing="0" w:afterAutospacing="0" w:line="324" w:lineRule="atLeast"/>
      </w:pPr>
      <w:r>
        <w:rPr>
          <w:rStyle w:val="10"/>
          <w:rFonts w:ascii="Verdana" w:hAnsi="Verdana" w:cs="Verdana"/>
          <w:color w:val="FF8C00"/>
          <w:sz w:val="18"/>
          <w:szCs w:val="18"/>
          <w:shd w:val="clear" w:color="auto" w:fill="FEFCFD"/>
        </w:rPr>
        <w:t>Technical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40"/>
        <w:gridCol w:w="3867"/>
        <w:gridCol w:w="4443"/>
      </w:tblGrid>
      <w:tr w14:paraId="1328E0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1425" w:type="dxa"/>
            <w:shd w:val="clear" w:color="auto" w:fill="auto"/>
            <w:vAlign w:val="center"/>
          </w:tcPr>
          <w:p w14:paraId="6F9E3F34">
            <w:pPr>
              <w:pStyle w:val="6"/>
              <w:widowControl/>
              <w:spacing w:beforeAutospacing="0" w:afterAutospacing="0" w:line="324" w:lineRule="atLeast"/>
            </w:pPr>
            <w:r>
              <w:t> </w:t>
            </w:r>
          </w:p>
        </w:tc>
        <w:tc>
          <w:tcPr>
            <w:tcW w:w="3825" w:type="dxa"/>
            <w:shd w:val="clear" w:color="auto" w:fill="auto"/>
            <w:vAlign w:val="center"/>
          </w:tcPr>
          <w:p w14:paraId="1D0B7629">
            <w:pPr>
              <w:pStyle w:val="6"/>
              <w:widowControl/>
              <w:spacing w:beforeAutospacing="0" w:afterAutospacing="0" w:line="324" w:lineRule="atLeast"/>
              <w:jc w:val="center"/>
            </w:pPr>
            <w:r>
              <w:rPr>
                <w:rStyle w:val="10"/>
              </w:rPr>
              <w:t>FU-4339A</w:t>
            </w:r>
          </w:p>
        </w:tc>
        <w:tc>
          <w:tcPr>
            <w:tcW w:w="4395" w:type="dxa"/>
            <w:shd w:val="clear" w:color="auto" w:fill="auto"/>
            <w:vAlign w:val="center"/>
          </w:tcPr>
          <w:p w14:paraId="7BFE87E3">
            <w:pPr>
              <w:pStyle w:val="6"/>
              <w:widowControl/>
              <w:spacing w:beforeAutospacing="0" w:afterAutospacing="0" w:line="324" w:lineRule="atLeast"/>
              <w:jc w:val="center"/>
            </w:pPr>
            <w:r>
              <w:rPr>
                <w:rStyle w:val="10"/>
              </w:rPr>
              <w:t>DX3214B-4/8/12</w:t>
            </w:r>
          </w:p>
        </w:tc>
      </w:tr>
      <w:tr w14:paraId="2DA3AA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425" w:type="dxa"/>
            <w:shd w:val="clear" w:color="auto" w:fill="auto"/>
            <w:vAlign w:val="center"/>
          </w:tcPr>
          <w:p w14:paraId="58189DBB">
            <w:pPr>
              <w:pStyle w:val="6"/>
              <w:widowControl/>
              <w:spacing w:beforeAutospacing="0" w:afterAutospacing="0" w:line="324" w:lineRule="atLeast"/>
            </w:pPr>
            <w:r>
              <w:t>Chipset</w:t>
            </w:r>
          </w:p>
        </w:tc>
        <w:tc>
          <w:tcPr>
            <w:tcW w:w="3825" w:type="dxa"/>
            <w:shd w:val="clear" w:color="auto" w:fill="auto"/>
            <w:vAlign w:val="center"/>
          </w:tcPr>
          <w:p w14:paraId="54AD9E92">
            <w:pPr>
              <w:pStyle w:val="6"/>
              <w:widowControl/>
              <w:spacing w:beforeAutospacing="0" w:afterAutospacing="0" w:line="324" w:lineRule="atLeast"/>
            </w:pPr>
            <w:r>
              <w:t>Magnum</w:t>
            </w:r>
          </w:p>
        </w:tc>
        <w:tc>
          <w:tcPr>
            <w:tcW w:w="4395" w:type="dxa"/>
            <w:shd w:val="clear" w:color="auto" w:fill="auto"/>
            <w:vAlign w:val="center"/>
          </w:tcPr>
          <w:p w14:paraId="05AFFDA7">
            <w:pPr>
              <w:pStyle w:val="6"/>
              <w:widowControl/>
              <w:spacing w:beforeAutospacing="0" w:afterAutospacing="0" w:line="324" w:lineRule="atLeast"/>
            </w:pPr>
            <w:r>
              <w:t>Magnum</w:t>
            </w:r>
          </w:p>
        </w:tc>
      </w:tr>
      <w:tr w14:paraId="12076C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425" w:type="dxa"/>
            <w:vMerge w:val="restart"/>
            <w:shd w:val="clear" w:color="auto" w:fill="auto"/>
            <w:vAlign w:val="center"/>
          </w:tcPr>
          <w:p w14:paraId="3C92E9AA">
            <w:pPr>
              <w:pStyle w:val="6"/>
              <w:widowControl/>
              <w:spacing w:beforeAutospacing="0" w:afterAutospacing="0" w:line="324" w:lineRule="atLeast"/>
            </w:pPr>
            <w:r>
              <w:t>Input interface</w:t>
            </w:r>
          </w:p>
        </w:tc>
        <w:tc>
          <w:tcPr>
            <w:tcW w:w="3825" w:type="dxa"/>
            <w:shd w:val="clear" w:color="auto" w:fill="auto"/>
            <w:vAlign w:val="center"/>
          </w:tcPr>
          <w:p w14:paraId="44EC67E0">
            <w:pPr>
              <w:pStyle w:val="6"/>
              <w:widowControl/>
              <w:spacing w:beforeAutospacing="0" w:afterAutospacing="0" w:line="324" w:lineRule="atLeast"/>
            </w:pPr>
            <w:r>
              <w:t>8× CVBS, BNC</w:t>
            </w:r>
          </w:p>
        </w:tc>
        <w:tc>
          <w:tcPr>
            <w:tcW w:w="4395" w:type="dxa"/>
            <w:vMerge w:val="restart"/>
            <w:shd w:val="clear" w:color="auto" w:fill="auto"/>
            <w:vAlign w:val="center"/>
          </w:tcPr>
          <w:p w14:paraId="76B129A9">
            <w:pPr>
              <w:pStyle w:val="6"/>
              <w:widowControl/>
              <w:spacing w:beforeAutospacing="0" w:afterAutospacing="0" w:line="324" w:lineRule="atLeast"/>
            </w:pPr>
            <w:r>
              <w:t>4/8/12× CVBS Optional, RCA interface</w:t>
            </w:r>
          </w:p>
          <w:p w14:paraId="11AAE1AF">
            <w:pPr>
              <w:pStyle w:val="6"/>
              <w:widowControl/>
              <w:spacing w:beforeAutospacing="0" w:afterAutospacing="0" w:line="324" w:lineRule="atLeast"/>
            </w:pPr>
            <w:r>
              <w:t>4/8/12×SD-SDI , BNC interface</w:t>
            </w:r>
          </w:p>
          <w:p w14:paraId="0119BB16">
            <w:pPr>
              <w:pStyle w:val="6"/>
              <w:widowControl/>
              <w:spacing w:beforeAutospacing="0" w:afterAutospacing="0" w:line="324" w:lineRule="atLeast"/>
            </w:pPr>
            <w:r>
              <w:t>(Modular design with each module supporting 4 channels, one chassis supporting up to 3 modules)</w:t>
            </w:r>
          </w:p>
        </w:tc>
      </w:tr>
      <w:tr w14:paraId="7539C5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425" w:type="dxa"/>
            <w:vMerge w:val="continue"/>
            <w:shd w:val="clear" w:color="auto" w:fill="auto"/>
            <w:vAlign w:val="center"/>
          </w:tcPr>
          <w:p w14:paraId="16999FF4">
            <w:pPr>
              <w:jc w:val="left"/>
              <w:rPr>
                <w:rFonts w:ascii="宋体"/>
                <w:sz w:val="24"/>
                <w:szCs w:val="24"/>
              </w:rPr>
            </w:pPr>
          </w:p>
        </w:tc>
        <w:tc>
          <w:tcPr>
            <w:tcW w:w="3825" w:type="dxa"/>
            <w:shd w:val="clear" w:color="auto" w:fill="auto"/>
            <w:vAlign w:val="center"/>
          </w:tcPr>
          <w:p w14:paraId="62230A6D">
            <w:pPr>
              <w:pStyle w:val="6"/>
              <w:widowControl/>
              <w:spacing w:beforeAutospacing="0" w:afterAutospacing="0" w:line="324" w:lineRule="atLeast"/>
            </w:pPr>
            <w:r>
              <w:t>8×SD-SDI input with embedded audio</w:t>
            </w:r>
          </w:p>
        </w:tc>
        <w:tc>
          <w:tcPr>
            <w:tcW w:w="4395" w:type="dxa"/>
            <w:vMerge w:val="continue"/>
            <w:shd w:val="clear" w:color="auto" w:fill="auto"/>
            <w:vAlign w:val="center"/>
          </w:tcPr>
          <w:p w14:paraId="785B4ECE">
            <w:pPr>
              <w:jc w:val="left"/>
              <w:rPr>
                <w:rFonts w:ascii="宋体"/>
                <w:sz w:val="24"/>
                <w:szCs w:val="24"/>
              </w:rPr>
            </w:pPr>
          </w:p>
        </w:tc>
      </w:tr>
      <w:tr w14:paraId="0C6C32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40" w:hRule="atLeast"/>
          <w:tblCellSpacing w:w="0" w:type="dxa"/>
        </w:trPr>
        <w:tc>
          <w:tcPr>
            <w:tcW w:w="1425" w:type="dxa"/>
            <w:shd w:val="clear" w:color="auto" w:fill="auto"/>
            <w:vAlign w:val="center"/>
          </w:tcPr>
          <w:p w14:paraId="02F936BC">
            <w:pPr>
              <w:pStyle w:val="6"/>
              <w:widowControl/>
              <w:spacing w:beforeAutospacing="0" w:afterAutospacing="0" w:line="324" w:lineRule="atLeast"/>
            </w:pPr>
            <w:r>
              <w:t>Bitrate</w:t>
            </w:r>
          </w:p>
        </w:tc>
        <w:tc>
          <w:tcPr>
            <w:tcW w:w="3825" w:type="dxa"/>
            <w:shd w:val="clear" w:color="auto" w:fill="auto"/>
            <w:vAlign w:val="center"/>
          </w:tcPr>
          <w:p w14:paraId="00C2DB8E">
            <w:pPr>
              <w:pStyle w:val="6"/>
              <w:widowControl/>
              <w:spacing w:beforeAutospacing="0" w:afterAutospacing="0" w:line="324" w:lineRule="atLeast"/>
            </w:pPr>
            <w:r>
              <w:t>0.25~15Mbps for H.264 encoding</w:t>
            </w:r>
          </w:p>
          <w:p w14:paraId="60FEE4CF">
            <w:pPr>
              <w:pStyle w:val="6"/>
              <w:widowControl/>
              <w:spacing w:beforeAutospacing="0" w:afterAutospacing="0" w:line="324" w:lineRule="atLeast"/>
            </w:pPr>
            <w:r>
              <w:t>0.5~15Mbps for MPEG-2 encoding</w:t>
            </w:r>
          </w:p>
        </w:tc>
        <w:tc>
          <w:tcPr>
            <w:tcW w:w="4395" w:type="dxa"/>
            <w:shd w:val="clear" w:color="auto" w:fill="auto"/>
            <w:vAlign w:val="center"/>
          </w:tcPr>
          <w:p w14:paraId="662E0361">
            <w:pPr>
              <w:pStyle w:val="6"/>
              <w:widowControl/>
              <w:spacing w:beforeAutospacing="0" w:afterAutospacing="0" w:line="324" w:lineRule="atLeast"/>
            </w:pPr>
            <w:r>
              <w:t>0.5~5Mbps for both H.264 and MPEG-2 encoding</w:t>
            </w:r>
          </w:p>
        </w:tc>
      </w:tr>
      <w:tr w14:paraId="73A6EF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425" w:type="dxa"/>
            <w:shd w:val="clear" w:color="auto" w:fill="auto"/>
            <w:vAlign w:val="center"/>
          </w:tcPr>
          <w:p w14:paraId="3D640658">
            <w:pPr>
              <w:pStyle w:val="6"/>
              <w:widowControl/>
              <w:spacing w:beforeAutospacing="0" w:afterAutospacing="0" w:line="324" w:lineRule="atLeast"/>
            </w:pPr>
            <w:r>
              <w:t>ASI In&amp;Mux</w:t>
            </w:r>
          </w:p>
        </w:tc>
        <w:tc>
          <w:tcPr>
            <w:tcW w:w="3825" w:type="dxa"/>
            <w:shd w:val="clear" w:color="auto" w:fill="auto"/>
            <w:vAlign w:val="center"/>
          </w:tcPr>
          <w:p w14:paraId="46B21C56">
            <w:pPr>
              <w:pStyle w:val="6"/>
              <w:widowControl/>
              <w:spacing w:beforeAutospacing="0" w:afterAutospacing="0" w:line="324" w:lineRule="atLeast"/>
            </w:pPr>
            <w:r>
              <w:t>1 ASI IN</w:t>
            </w:r>
          </w:p>
        </w:tc>
        <w:tc>
          <w:tcPr>
            <w:tcW w:w="4395" w:type="dxa"/>
            <w:shd w:val="clear" w:color="auto" w:fill="auto"/>
            <w:vAlign w:val="center"/>
          </w:tcPr>
          <w:p w14:paraId="0EA332EC">
            <w:pPr>
              <w:pStyle w:val="6"/>
              <w:widowControl/>
              <w:spacing w:beforeAutospacing="0" w:afterAutospacing="0" w:line="324" w:lineRule="atLeast"/>
            </w:pPr>
            <w:r>
              <w:t>N/A</w:t>
            </w:r>
          </w:p>
        </w:tc>
      </w:tr>
      <w:tr w14:paraId="3A2676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425" w:type="dxa"/>
            <w:shd w:val="clear" w:color="auto" w:fill="auto"/>
            <w:vAlign w:val="center"/>
          </w:tcPr>
          <w:p w14:paraId="0FA57725">
            <w:pPr>
              <w:pStyle w:val="6"/>
              <w:widowControl/>
              <w:spacing w:beforeAutospacing="0" w:afterAutospacing="0" w:line="324" w:lineRule="atLeast"/>
            </w:pPr>
            <w:r>
              <w:t>ASI Output</w:t>
            </w:r>
          </w:p>
        </w:tc>
        <w:tc>
          <w:tcPr>
            <w:tcW w:w="3825" w:type="dxa"/>
            <w:shd w:val="clear" w:color="auto" w:fill="auto"/>
            <w:vAlign w:val="center"/>
          </w:tcPr>
          <w:p w14:paraId="50448A63">
            <w:pPr>
              <w:pStyle w:val="6"/>
              <w:widowControl/>
              <w:spacing w:beforeAutospacing="0" w:afterAutospacing="0" w:line="324" w:lineRule="atLeast"/>
            </w:pPr>
            <w:r>
              <w:t>2*ASI mirrored Output</w:t>
            </w:r>
          </w:p>
        </w:tc>
        <w:tc>
          <w:tcPr>
            <w:tcW w:w="4395" w:type="dxa"/>
            <w:shd w:val="clear" w:color="auto" w:fill="auto"/>
            <w:vAlign w:val="center"/>
          </w:tcPr>
          <w:p w14:paraId="123E870C">
            <w:pPr>
              <w:pStyle w:val="6"/>
              <w:widowControl/>
              <w:spacing w:beforeAutospacing="0" w:afterAutospacing="0" w:line="324" w:lineRule="atLeast"/>
            </w:pPr>
            <w:r>
              <w:t>N/A</w:t>
            </w:r>
          </w:p>
        </w:tc>
      </w:tr>
      <w:tr w14:paraId="27AABB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425" w:type="dxa"/>
            <w:shd w:val="clear" w:color="auto" w:fill="auto"/>
            <w:vAlign w:val="center"/>
          </w:tcPr>
          <w:p w14:paraId="52554EE2">
            <w:pPr>
              <w:pStyle w:val="6"/>
              <w:widowControl/>
              <w:spacing w:beforeAutospacing="0" w:afterAutospacing="0" w:line="324" w:lineRule="atLeast"/>
            </w:pPr>
            <w:r>
              <w:t>IP Output</w:t>
            </w:r>
          </w:p>
        </w:tc>
        <w:tc>
          <w:tcPr>
            <w:tcW w:w="3825" w:type="dxa"/>
            <w:shd w:val="clear" w:color="auto" w:fill="auto"/>
            <w:vAlign w:val="center"/>
          </w:tcPr>
          <w:p w14:paraId="1EA31CD7">
            <w:pPr>
              <w:widowControl/>
              <w:numPr>
                <w:ilvl w:val="0"/>
                <w:numId w:val="1"/>
              </w:numPr>
              <w:spacing w:beforeAutospacing="1" w:afterAutospacing="1" w:line="324" w:lineRule="atLeast"/>
              <w:ind w:left="0"/>
              <w:jc w:val="left"/>
            </w:pPr>
            <w:r>
              <w:t>8 SPTS or 1 MPTS output over UDP (unicast / multicast)</w:t>
            </w:r>
          </w:p>
          <w:p w14:paraId="4F65464D">
            <w:pPr>
              <w:widowControl/>
              <w:numPr>
                <w:ilvl w:val="0"/>
                <w:numId w:val="1"/>
              </w:numPr>
              <w:spacing w:beforeAutospacing="1" w:afterAutospacing="1" w:line="324" w:lineRule="atLeast"/>
              <w:ind w:left="0"/>
              <w:jc w:val="left"/>
            </w:pPr>
            <w:r>
              <w:t>10/100Base-T Ethernet interface * 1</w:t>
            </w:r>
          </w:p>
          <w:p w14:paraId="4B39C12D">
            <w:pPr>
              <w:widowControl/>
              <w:numPr>
                <w:ilvl w:val="0"/>
                <w:numId w:val="1"/>
              </w:numPr>
              <w:spacing w:beforeAutospacing="1" w:afterAutospacing="1" w:line="324" w:lineRule="atLeast"/>
              <w:ind w:left="0"/>
              <w:jc w:val="left"/>
            </w:pPr>
            <w:r>
              <w:t>one data port for all channels</w:t>
            </w:r>
          </w:p>
        </w:tc>
        <w:tc>
          <w:tcPr>
            <w:tcW w:w="4395" w:type="dxa"/>
            <w:shd w:val="clear" w:color="auto" w:fill="auto"/>
            <w:vAlign w:val="center"/>
          </w:tcPr>
          <w:p w14:paraId="03112F93">
            <w:pPr>
              <w:widowControl/>
              <w:numPr>
                <w:ilvl w:val="0"/>
                <w:numId w:val="2"/>
              </w:numPr>
              <w:spacing w:beforeAutospacing="1" w:afterAutospacing="1" w:line="324" w:lineRule="atLeast"/>
              <w:ind w:left="0"/>
              <w:jc w:val="left"/>
            </w:pPr>
            <w:r>
              <w:t>4 SPTS and 1 MPTS output over UDP and RTP/RTSP for each module (unicast/multicast)</w:t>
            </w:r>
          </w:p>
          <w:p w14:paraId="7032438F">
            <w:pPr>
              <w:widowControl/>
              <w:numPr>
                <w:ilvl w:val="0"/>
                <w:numId w:val="2"/>
              </w:numPr>
              <w:spacing w:beforeAutospacing="1" w:afterAutospacing="1" w:line="324" w:lineRule="atLeast"/>
              <w:ind w:left="0"/>
              <w:jc w:val="left"/>
            </w:pPr>
            <w:r>
              <w:t>1000 Base-T Ethernet interface*1/2/3</w:t>
            </w:r>
          </w:p>
          <w:p w14:paraId="4DE8DC2C">
            <w:pPr>
              <w:widowControl/>
              <w:numPr>
                <w:ilvl w:val="0"/>
                <w:numId w:val="2"/>
              </w:numPr>
              <w:spacing w:beforeAutospacing="1" w:afterAutospacing="1" w:line="324" w:lineRule="atLeast"/>
              <w:ind w:left="0"/>
              <w:jc w:val="left"/>
            </w:pPr>
            <w:r>
              <w:t>one data port for one module (4 channels)</w:t>
            </w:r>
          </w:p>
        </w:tc>
      </w:tr>
      <w:tr w14:paraId="2D3A05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425" w:type="dxa"/>
            <w:shd w:val="clear" w:color="auto" w:fill="auto"/>
            <w:vAlign w:val="center"/>
          </w:tcPr>
          <w:p w14:paraId="6B6AFD0A">
            <w:pPr>
              <w:pStyle w:val="6"/>
              <w:widowControl/>
              <w:spacing w:beforeAutospacing="0" w:afterAutospacing="0" w:line="324" w:lineRule="atLeast"/>
            </w:pPr>
            <w:r>
              <w:t>OSD insertion</w:t>
            </w:r>
          </w:p>
        </w:tc>
        <w:tc>
          <w:tcPr>
            <w:tcW w:w="3825" w:type="dxa"/>
            <w:shd w:val="clear" w:color="auto" w:fill="auto"/>
            <w:vAlign w:val="center"/>
          </w:tcPr>
          <w:p w14:paraId="26C59FC5">
            <w:pPr>
              <w:pStyle w:val="6"/>
              <w:widowControl/>
              <w:spacing w:beforeAutospacing="0" w:afterAutospacing="0" w:line="324" w:lineRule="atLeast"/>
            </w:pPr>
            <w:r>
              <w:t>N/A</w:t>
            </w:r>
          </w:p>
        </w:tc>
        <w:tc>
          <w:tcPr>
            <w:tcW w:w="4395" w:type="dxa"/>
            <w:shd w:val="clear" w:color="auto" w:fill="auto"/>
            <w:vAlign w:val="center"/>
          </w:tcPr>
          <w:p w14:paraId="59762704">
            <w:pPr>
              <w:pStyle w:val="6"/>
              <w:widowControl/>
              <w:spacing w:beforeAutospacing="0" w:afterAutospacing="0" w:line="324" w:lineRule="atLeast"/>
            </w:pPr>
            <w:r>
              <w:t>Support logo/caption/QR Code insertion</w:t>
            </w:r>
          </w:p>
        </w:tc>
      </w:tr>
      <w:tr w14:paraId="2C333D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425" w:type="dxa"/>
            <w:shd w:val="clear" w:color="auto" w:fill="auto"/>
            <w:vAlign w:val="center"/>
          </w:tcPr>
          <w:p w14:paraId="310FF27E">
            <w:pPr>
              <w:pStyle w:val="6"/>
              <w:widowControl/>
              <w:spacing w:beforeAutospacing="0" w:afterAutospacing="0" w:line="324" w:lineRule="atLeast"/>
            </w:pPr>
            <w:r>
              <w:t>Operation</w:t>
            </w:r>
          </w:p>
        </w:tc>
        <w:tc>
          <w:tcPr>
            <w:tcW w:w="3825" w:type="dxa"/>
            <w:shd w:val="clear" w:color="auto" w:fill="auto"/>
            <w:vAlign w:val="center"/>
          </w:tcPr>
          <w:p w14:paraId="1801DCB7">
            <w:pPr>
              <w:widowControl/>
              <w:numPr>
                <w:ilvl w:val="0"/>
                <w:numId w:val="3"/>
              </w:numPr>
              <w:spacing w:beforeAutospacing="1" w:afterAutospacing="1" w:line="324" w:lineRule="atLeast"/>
              <w:ind w:left="0"/>
              <w:jc w:val="left"/>
            </w:pPr>
            <w:r>
              <w:t>Web-based NMS</w:t>
            </w:r>
          </w:p>
          <w:p w14:paraId="756AC05F">
            <w:pPr>
              <w:widowControl/>
              <w:numPr>
                <w:ilvl w:val="0"/>
                <w:numId w:val="3"/>
              </w:numPr>
              <w:spacing w:beforeAutospacing="1" w:afterAutospacing="1" w:line="324" w:lineRule="atLeast"/>
              <w:ind w:left="0"/>
              <w:jc w:val="left"/>
            </w:pPr>
            <w:r>
              <w:t>SNMP (Optional)</w:t>
            </w:r>
          </w:p>
          <w:p w14:paraId="7035AB1F">
            <w:pPr>
              <w:widowControl/>
              <w:numPr>
                <w:ilvl w:val="0"/>
                <w:numId w:val="3"/>
              </w:numPr>
              <w:spacing w:beforeAutospacing="1" w:afterAutospacing="1" w:line="324" w:lineRule="atLeast"/>
              <w:ind w:left="0"/>
              <w:jc w:val="left"/>
            </w:pPr>
            <w:r>
              <w:t>Front panel with LCD+Key board</w:t>
            </w:r>
          </w:p>
        </w:tc>
        <w:tc>
          <w:tcPr>
            <w:tcW w:w="4395" w:type="dxa"/>
            <w:shd w:val="clear" w:color="auto" w:fill="auto"/>
            <w:vAlign w:val="center"/>
          </w:tcPr>
          <w:p w14:paraId="5982B3D9">
            <w:pPr>
              <w:widowControl/>
              <w:numPr>
                <w:ilvl w:val="0"/>
                <w:numId w:val="4"/>
              </w:numPr>
              <w:spacing w:beforeAutospacing="1" w:afterAutospacing="1" w:line="324" w:lineRule="atLeast"/>
              <w:ind w:left="0"/>
              <w:jc w:val="left"/>
            </w:pPr>
            <w:r>
              <w:t>Web-based NMS</w:t>
            </w:r>
          </w:p>
        </w:tc>
      </w:tr>
      <w:tr w14:paraId="348BD3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425" w:type="dxa"/>
            <w:shd w:val="clear" w:color="auto" w:fill="auto"/>
            <w:vAlign w:val="center"/>
          </w:tcPr>
          <w:p w14:paraId="7C2FF9F2">
            <w:pPr>
              <w:pStyle w:val="6"/>
              <w:widowControl/>
              <w:spacing w:beforeAutospacing="0" w:afterAutospacing="0" w:line="324" w:lineRule="atLeast"/>
            </w:pPr>
            <w:r>
              <w:t>Control Mode</w:t>
            </w:r>
          </w:p>
        </w:tc>
        <w:tc>
          <w:tcPr>
            <w:tcW w:w="3825" w:type="dxa"/>
            <w:shd w:val="clear" w:color="auto" w:fill="auto"/>
            <w:vAlign w:val="center"/>
          </w:tcPr>
          <w:p w14:paraId="27CD8D71">
            <w:pPr>
              <w:pStyle w:val="6"/>
              <w:widowControl/>
              <w:spacing w:beforeAutospacing="0" w:afterAutospacing="0" w:line="324" w:lineRule="atLeast"/>
            </w:pPr>
            <w:r>
              <w:t>One NMS port for all channels</w:t>
            </w:r>
          </w:p>
        </w:tc>
        <w:tc>
          <w:tcPr>
            <w:tcW w:w="4395" w:type="dxa"/>
            <w:shd w:val="clear" w:color="auto" w:fill="auto"/>
            <w:vAlign w:val="center"/>
          </w:tcPr>
          <w:p w14:paraId="6A1D0435">
            <w:pPr>
              <w:pStyle w:val="6"/>
              <w:widowControl/>
              <w:spacing w:beforeAutospacing="0" w:afterAutospacing="0" w:line="324" w:lineRule="atLeast"/>
            </w:pPr>
            <w:r>
              <w:t>One NMS port for each module (4 channels)</w:t>
            </w:r>
          </w:p>
        </w:tc>
      </w:tr>
    </w:tbl>
    <w:p w14:paraId="6BF8A19A">
      <w:pPr>
        <w:pStyle w:val="6"/>
        <w:widowControl/>
        <w:spacing w:beforeAutospacing="0" w:afterAutospacing="0" w:line="324" w:lineRule="atLeast"/>
      </w:pPr>
      <w:r>
        <w:rPr>
          <w:rFonts w:ascii="Verdana" w:hAnsi="Verdana" w:cs="Verdana"/>
          <w:color w:val="333333"/>
          <w:sz w:val="18"/>
          <w:szCs w:val="18"/>
          <w:shd w:val="clear" w:color="auto" w:fill="FEFCFD"/>
        </w:rPr>
        <w:t> </w:t>
      </w:r>
    </w:p>
    <w:p w14:paraId="74933001">
      <w:pPr>
        <w:widowControl/>
        <w:shd w:val="clear" w:color="auto" w:fill="F2F2F4"/>
        <w:jc w:val="left"/>
        <w:rPr>
          <w:rFonts w:ascii="Verdana" w:hAnsi="Verdana" w:cs="Verdana"/>
          <w:color w:val="333333"/>
          <w:sz w:val="18"/>
          <w:szCs w:val="18"/>
        </w:rPr>
      </w:pPr>
    </w:p>
    <w:p w14:paraId="7F16F9A0">
      <w:pPr>
        <w:rPr>
          <w:rFonts w:ascii="Verdana" w:hAnsi="Verdana" w:cs="Verdana"/>
          <w:color w:val="000000"/>
          <w:sz w:val="28"/>
        </w:rPr>
      </w:pPr>
    </w:p>
    <w:p w14:paraId="0FA56D4F">
      <w:pPr>
        <w:rPr>
          <w:rFonts w:ascii="Verdana" w:hAnsi="Verdana" w:cs="Verdana"/>
          <w:b/>
          <w:color w:val="000000"/>
          <w:sz w:val="22"/>
        </w:rPr>
      </w:pPr>
      <w:r>
        <w:rPr>
          <w:rFonts w:hint="eastAsia" w:ascii="Verdana" w:hAnsi="Verdana" w:cs="Verdana"/>
          <w:b/>
          <w:color w:val="000000"/>
          <w:sz w:val="22"/>
        </w:rPr>
        <w:t>About Us</w:t>
      </w:r>
    </w:p>
    <w:p w14:paraId="1C0F9B6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E239A49">
      <w:pPr>
        <w:rPr>
          <w:rFonts w:ascii="Verdana" w:hAnsi="Verdana" w:cs="Verdana"/>
          <w:color w:val="000000"/>
          <w:sz w:val="18"/>
        </w:rPr>
      </w:pPr>
    </w:p>
    <w:p w14:paraId="4437A36C">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7B9B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083E6C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5348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DBF96"/>
    <w:multiLevelType w:val="multilevel"/>
    <w:tmpl w:val="859DBF9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DCC1E6E"/>
    <w:multiLevelType w:val="multilevel"/>
    <w:tmpl w:val="CDCC1E6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EA0D444"/>
    <w:multiLevelType w:val="multilevel"/>
    <w:tmpl w:val="FEA0D44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4E1E0BFD"/>
    <w:multiLevelType w:val="multilevel"/>
    <w:tmpl w:val="4E1E0BF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A1CB2"/>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994F83"/>
    <w:rsid w:val="00A16F8C"/>
    <w:rsid w:val="00A35CEF"/>
    <w:rsid w:val="00AE759F"/>
    <w:rsid w:val="00AF7C10"/>
    <w:rsid w:val="00B11FEF"/>
    <w:rsid w:val="00B4381C"/>
    <w:rsid w:val="00B539FF"/>
    <w:rsid w:val="00B56E04"/>
    <w:rsid w:val="00BD4043"/>
    <w:rsid w:val="00C44FAF"/>
    <w:rsid w:val="00C81D15"/>
    <w:rsid w:val="00CF2353"/>
    <w:rsid w:val="00D24477"/>
    <w:rsid w:val="00F268A0"/>
    <w:rsid w:val="00F714FF"/>
    <w:rsid w:val="00F7593F"/>
    <w:rsid w:val="00FC60FC"/>
    <w:rsid w:val="033D434A"/>
    <w:rsid w:val="03E104CE"/>
    <w:rsid w:val="0A680B1B"/>
    <w:rsid w:val="0DDC09BE"/>
    <w:rsid w:val="0DE94338"/>
    <w:rsid w:val="0E714EC9"/>
    <w:rsid w:val="0FC87CEA"/>
    <w:rsid w:val="101C4557"/>
    <w:rsid w:val="11537A88"/>
    <w:rsid w:val="15C25510"/>
    <w:rsid w:val="160C6457"/>
    <w:rsid w:val="18AE427D"/>
    <w:rsid w:val="18E81EA3"/>
    <w:rsid w:val="1B974A15"/>
    <w:rsid w:val="1CDC4CA0"/>
    <w:rsid w:val="1FCC39C5"/>
    <w:rsid w:val="20F61905"/>
    <w:rsid w:val="2199682E"/>
    <w:rsid w:val="239E3C7B"/>
    <w:rsid w:val="27B55639"/>
    <w:rsid w:val="2A752F8B"/>
    <w:rsid w:val="2C0173DB"/>
    <w:rsid w:val="2C665CEA"/>
    <w:rsid w:val="2CD539B7"/>
    <w:rsid w:val="2E0F6BE8"/>
    <w:rsid w:val="30705B08"/>
    <w:rsid w:val="314F3E41"/>
    <w:rsid w:val="3B533162"/>
    <w:rsid w:val="3E471B28"/>
    <w:rsid w:val="44F122B5"/>
    <w:rsid w:val="45872050"/>
    <w:rsid w:val="472929E0"/>
    <w:rsid w:val="478E224E"/>
    <w:rsid w:val="480E7731"/>
    <w:rsid w:val="485E04E5"/>
    <w:rsid w:val="487316FE"/>
    <w:rsid w:val="49B75FAC"/>
    <w:rsid w:val="4E4A4BF6"/>
    <w:rsid w:val="4F1E2658"/>
    <w:rsid w:val="4F8D25ED"/>
    <w:rsid w:val="4FF116EE"/>
    <w:rsid w:val="51AD130D"/>
    <w:rsid w:val="540A3FAB"/>
    <w:rsid w:val="562E484B"/>
    <w:rsid w:val="56834992"/>
    <w:rsid w:val="5930748A"/>
    <w:rsid w:val="59933671"/>
    <w:rsid w:val="5AA83521"/>
    <w:rsid w:val="5C060119"/>
    <w:rsid w:val="5EEA5249"/>
    <w:rsid w:val="609213A6"/>
    <w:rsid w:val="61BA6334"/>
    <w:rsid w:val="63C27F07"/>
    <w:rsid w:val="65864EAB"/>
    <w:rsid w:val="677B6565"/>
    <w:rsid w:val="68AD6386"/>
    <w:rsid w:val="6A175019"/>
    <w:rsid w:val="6D1E1E6D"/>
    <w:rsid w:val="6D7A6503"/>
    <w:rsid w:val="70757613"/>
    <w:rsid w:val="70B756B4"/>
    <w:rsid w:val="729F7121"/>
    <w:rsid w:val="73270F88"/>
    <w:rsid w:val="74455F31"/>
    <w:rsid w:val="7540100C"/>
    <w:rsid w:val="77935A18"/>
    <w:rsid w:val="7AD63D87"/>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DX3214%203214B/3EEECN_20190430055329.jpg" TargetMode="External"/><Relationship Id="rId8" Type="http://schemas.openxmlformats.org/officeDocument/2006/relationships/image" Target="media/image3.jpeg"/><Relationship Id="rId7" Type="http://schemas.openxmlformats.org/officeDocument/2006/relationships/hyperlink" Target="https://english.dsdvb.com/Upload/images/3EEECN_2019022009373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hyperlink" Target="https://english.dsdvb.com/Upload/images/Product/Encoder/DX3214%203214B/3EEECN_20190404031211.jpg" TargetMode="External"/><Relationship Id="rId14" Type="http://schemas.openxmlformats.org/officeDocument/2006/relationships/image" Target="media/image6.jpeg"/><Relationship Id="rId13" Type="http://schemas.openxmlformats.org/officeDocument/2006/relationships/hyperlink" Target="https://english.dsdvb.com/Upload/images/Product/Encoder/DX3214%203214B/3EEECN_20190524022426.jpg" TargetMode="External"/><Relationship Id="rId12" Type="http://schemas.openxmlformats.org/officeDocument/2006/relationships/image" Target="media/image5.jpeg"/><Relationship Id="rId11" Type="http://schemas.openxmlformats.org/officeDocument/2006/relationships/hyperlink" Target="https://english.dsdvb.com/Upload/images/Product/Encoder/DX3214%203214B/3EEECN_20190524022332.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166</Words>
  <Characters>940</Characters>
  <Lines>26</Lines>
  <Paragraphs>7</Paragraphs>
  <TotalTime>29</TotalTime>
  <ScaleCrop>false</ScaleCrop>
  <LinksUpToDate>false</LinksUpToDate>
  <CharactersWithSpaces>1097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2025-08-20T02:15:38Z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