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49686">
      <w:pPr>
        <w:pStyle w:val="6"/>
        <w:widowControl/>
        <w:spacing w:beforeAutospacing="0" w:afterAutospacing="0" w:line="324" w:lineRule="atLeast"/>
        <w:jc w:val="center"/>
      </w:pPr>
      <w:bookmarkStart w:id="0" w:name="_GoBack"/>
      <w:r>
        <w:rPr>
          <w:rFonts w:hint="eastAsia" w:ascii="Verdana" w:hAnsi="Verdana" w:cs="Verdana"/>
          <w:b/>
          <w:i w:val="0"/>
          <w:strike w:val="0"/>
          <w:color w:val="000000"/>
          <w:sz w:val="22"/>
          <w:lang w:eastAsia="zh-CN"/>
        </w:rPr>
        <w:t xml:space="preserve">FMUSER FUQ-3504 IP Multiplexer 4 ASI Bidirectional Inputs-Outputs 768 UDP-RTP IP Inputs 4 MPTS UDP-RTP Outputs PID Re-mapping PSI-SI Auto-Generation for CATV Headend </w:t>
      </w:r>
      <w:bookmarkEnd w:id="0"/>
      <w:r>
        <w:rPr>
          <w:rFonts w:ascii="Verdana" w:hAnsi="Verdana" w:cs="Verdana"/>
          <w:color w:val="000000"/>
          <w:sz w:val="28"/>
        </w:rPr>
        <w:drawing>
          <wp:inline distT="0" distB="0" distL="114300" distR="114300">
            <wp:extent cx="6181725" cy="3400425"/>
            <wp:effectExtent l="0" t="0" r="9525" b="9525"/>
            <wp:docPr id="1" name="图片 1" descr="3EEECN_20190408034219"/>
            <wp:cNvGraphicFramePr/>
            <a:graphic xmlns:a="http://schemas.openxmlformats.org/drawingml/2006/main">
              <a:graphicData uri="http://schemas.openxmlformats.org/drawingml/2006/picture">
                <pic:pic xmlns:pic="http://schemas.openxmlformats.org/drawingml/2006/picture">
                  <pic:nvPicPr>
                    <pic:cNvPr id="1" name="图片 1" descr="3EEECN_20190408034219"/>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color w:val="FF8C00"/>
          <w:sz w:val="18"/>
          <w:szCs w:val="18"/>
          <w:shd w:val="clear" w:color="auto" w:fill="FEFCFD"/>
        </w:rPr>
        <w:t>Product Overview</w:t>
      </w:r>
    </w:p>
    <w:p w14:paraId="4DA63E0A">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FUQ-3504 IP Multiplexer provides high-density MPTS multiplexing with 4 bidirectional ASI inputs and 768 IP streams via UDP/RTP, outputting to 4 MPTS streams. It processes signals through PID remapping, PCR adjustment, and PSI/SI auto-generation. Controlled via web-based NMS over a dedicated 10/100M port, this 1RU rack-mountable unit is designed for digital broadcast headends and CATV systems.</w:t>
      </w:r>
      <w:r>
        <w:rPr>
          <w:rFonts w:ascii="Verdana" w:hAnsi="Verdana" w:cs="Verdana"/>
          <w:color w:val="333333"/>
          <w:sz w:val="18"/>
          <w:szCs w:val="18"/>
          <w:shd w:val="clear" w:color="auto" w:fill="FEFCFD"/>
        </w:rPr>
        <w:t> </w:t>
      </w:r>
    </w:p>
    <w:p w14:paraId="201C18F9">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FF8C00"/>
          <w:sz w:val="18"/>
          <w:szCs w:val="18"/>
          <w:shd w:val="clear" w:color="auto" w:fill="FEFCFD"/>
          <w:lang w:eastAsia="zh-CN"/>
        </w:rPr>
        <w:t>Key feature</w:t>
      </w:r>
    </w:p>
    <w:p w14:paraId="22F54C8B">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Supports 4 bidirectional ASI ports and 768 IP inputs via UDP/RTP.</w:t>
      </w:r>
    </w:p>
    <w:p w14:paraId="7D3FCACD">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Performs PID remapping, PCR adjustment, and PSI/SI auto-generation.</w:t>
      </w:r>
    </w:p>
    <w:p w14:paraId="5D48E22C">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Includes large buffer memory to prevent overflow and bypass output capability.</w:t>
      </w:r>
    </w:p>
    <w:p w14:paraId="7E6C321B">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Features web-based NMS for centralized monitoring and control.</w:t>
      </w:r>
    </w:p>
    <w:p w14:paraId="5C7354C3">
      <w:pPr>
        <w:pStyle w:val="6"/>
        <w:widowControl/>
        <w:spacing w:beforeAutospacing="0" w:afterAutospacing="0" w:line="324" w:lineRule="atLeast"/>
      </w:pPr>
      <w:r>
        <w:rPr>
          <w:rFonts w:ascii="Verdana" w:hAnsi="Verdana" w:cs="Verdana"/>
          <w:color w:val="333333"/>
          <w:sz w:val="18"/>
          <w:szCs w:val="18"/>
          <w:shd w:val="clear" w:color="auto" w:fill="FEFCFD"/>
        </w:rPr>
        <w:t> </w:t>
      </w:r>
    </w:p>
    <w:p w14:paraId="26262C74">
      <w:pPr>
        <w:pStyle w:val="6"/>
        <w:widowControl/>
        <w:spacing w:beforeAutospacing="0" w:afterAutospacing="0" w:line="324" w:lineRule="atLeast"/>
      </w:pPr>
      <w:r>
        <w:rPr>
          <w:rStyle w:val="10"/>
          <w:rFonts w:ascii="Verdana" w:hAnsi="Verdana" w:cs="Verdana"/>
          <w:color w:val="FF8C00"/>
          <w:sz w:val="18"/>
          <w:szCs w:val="18"/>
          <w:shd w:val="clear" w:color="auto" w:fill="FEFCFD"/>
        </w:rPr>
        <w:t>Principle Chart</w:t>
      </w:r>
    </w:p>
    <w:p w14:paraId="5D553933">
      <w:pPr>
        <w:pStyle w:val="6"/>
        <w:widowControl/>
        <w:spacing w:beforeAutospacing="0" w:afterAutospacing="0" w:line="324" w:lineRule="atLeast"/>
        <w:jc w:val="center"/>
      </w:pP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4238625" cy="3762375"/>
            <wp:effectExtent l="0" t="0" r="9525" b="952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4238625" cy="3762375"/>
                    </a:xfrm>
                    <a:prstGeom prst="rect">
                      <a:avLst/>
                    </a:prstGeom>
                    <a:noFill/>
                    <a:ln w="9525">
                      <a:noFill/>
                    </a:ln>
                  </pic:spPr>
                </pic:pic>
              </a:graphicData>
            </a:graphic>
          </wp:inline>
        </w:drawing>
      </w:r>
    </w:p>
    <w:p w14:paraId="63E3DFF5">
      <w:pPr>
        <w:pStyle w:val="6"/>
        <w:widowControl/>
        <w:spacing w:beforeAutospacing="0" w:afterAutospacing="0" w:line="324" w:lineRule="atLeast"/>
      </w:pPr>
      <w:r>
        <w:rPr>
          <w:rFonts w:ascii="Verdana" w:hAnsi="Verdana" w:cs="Verdana"/>
          <w:color w:val="333333"/>
          <w:sz w:val="18"/>
          <w:szCs w:val="18"/>
          <w:shd w:val="clear" w:color="auto" w:fill="FEFCFD"/>
        </w:rPr>
        <w:t> </w:t>
      </w:r>
    </w:p>
    <w:p w14:paraId="272A75BF">
      <w:pPr>
        <w:pStyle w:val="6"/>
        <w:widowControl/>
        <w:spacing w:beforeAutospacing="0" w:afterAutospacing="0" w:line="324" w:lineRule="atLeast"/>
      </w:pPr>
      <w:r>
        <w:rPr>
          <w:rStyle w:val="10"/>
          <w:rFonts w:ascii="Verdana" w:hAnsi="Verdana" w:cs="Verdana"/>
          <w:color w:val="FF8C00"/>
          <w:sz w:val="18"/>
          <w:szCs w:val="18"/>
          <w:shd w:val="clear" w:color="auto" w:fill="FEFCFD"/>
        </w:rPr>
        <w:t>Specifications</w:t>
      </w:r>
    </w:p>
    <w:tbl>
      <w:tblPr>
        <w:tblStyle w:val="7"/>
        <w:tblW w:w="10665"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85"/>
        <w:gridCol w:w="2235"/>
        <w:gridCol w:w="6645"/>
      </w:tblGrid>
      <w:tr w14:paraId="0D252C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51" w:hRule="atLeast"/>
          <w:tblCellSpacing w:w="0" w:type="dxa"/>
        </w:trPr>
        <w:tc>
          <w:tcPr>
            <w:tcW w:w="1785" w:type="dxa"/>
            <w:vMerge w:val="restart"/>
            <w:shd w:val="clear" w:color="auto" w:fill="auto"/>
            <w:vAlign w:val="center"/>
          </w:tcPr>
          <w:p w14:paraId="228B9CE3">
            <w:pPr>
              <w:pStyle w:val="6"/>
              <w:widowControl/>
              <w:spacing w:beforeAutospacing="0" w:afterAutospacing="0" w:line="324" w:lineRule="atLeast"/>
            </w:pPr>
            <w:r>
              <w:rPr>
                <w:rStyle w:val="10"/>
              </w:rPr>
              <w:t>Input / Output</w:t>
            </w:r>
          </w:p>
        </w:tc>
        <w:tc>
          <w:tcPr>
            <w:tcW w:w="8880" w:type="dxa"/>
            <w:gridSpan w:val="2"/>
            <w:shd w:val="clear" w:color="auto" w:fill="auto"/>
            <w:vAlign w:val="center"/>
          </w:tcPr>
          <w:p w14:paraId="7C265A7A">
            <w:pPr>
              <w:pStyle w:val="6"/>
              <w:widowControl/>
              <w:spacing w:beforeAutospacing="0" w:afterAutospacing="0" w:line="324" w:lineRule="atLeast"/>
            </w:pPr>
            <w:r>
              <w:t>4 bi-direction ASI ports: max 4 ASI input/output, BNC 75Ω</w:t>
            </w:r>
          </w:p>
          <w:p w14:paraId="6E9DA6EC">
            <w:pPr>
              <w:pStyle w:val="6"/>
              <w:widowControl/>
              <w:spacing w:beforeAutospacing="0" w:afterAutospacing="0" w:line="324" w:lineRule="atLeast"/>
            </w:pPr>
            <w:r>
              <w:t>3 bi-direction Data ports (RJ45)</w:t>
            </w:r>
          </w:p>
          <w:p w14:paraId="6970A00B">
            <w:pPr>
              <w:pStyle w:val="6"/>
              <w:widowControl/>
              <w:spacing w:beforeAutospacing="0" w:afterAutospacing="0" w:line="324" w:lineRule="atLeast"/>
            </w:pPr>
            <w:r>
              <w:t>768 IP inputs over UDP/RTP (256 IP inputs thru GE1, GE2 and DATA port respectively)</w:t>
            </w:r>
          </w:p>
          <w:p w14:paraId="1B4FD0F8">
            <w:pPr>
              <w:pStyle w:val="6"/>
              <w:widowControl/>
              <w:spacing w:beforeAutospacing="0" w:afterAutospacing="0" w:line="324" w:lineRule="atLeast"/>
            </w:pPr>
            <w:r>
              <w:t>4 MPTS outputs over UDP/RTP thru GE1, GE2 and DATA port</w:t>
            </w:r>
          </w:p>
          <w:p w14:paraId="6F0FF6C4">
            <w:pPr>
              <w:pStyle w:val="6"/>
              <w:widowControl/>
              <w:spacing w:beforeAutospacing="0" w:afterAutospacing="0" w:line="324" w:lineRule="atLeast"/>
            </w:pPr>
            <w:r>
              <w:t>100/1000Mbps self-adaption for all data ports</w:t>
            </w:r>
          </w:p>
        </w:tc>
      </w:tr>
      <w:tr w14:paraId="3B5A44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618A9FC9">
            <w:pPr>
              <w:jc w:val="left"/>
              <w:rPr>
                <w:rFonts w:ascii="宋体"/>
                <w:sz w:val="24"/>
                <w:szCs w:val="24"/>
              </w:rPr>
            </w:pPr>
          </w:p>
        </w:tc>
        <w:tc>
          <w:tcPr>
            <w:tcW w:w="2235" w:type="dxa"/>
            <w:shd w:val="clear" w:color="auto" w:fill="auto"/>
            <w:vAlign w:val="center"/>
          </w:tcPr>
          <w:p w14:paraId="408F9D02">
            <w:pPr>
              <w:pStyle w:val="6"/>
              <w:widowControl/>
              <w:spacing w:beforeAutospacing="0" w:afterAutospacing="0" w:line="324" w:lineRule="atLeast"/>
            </w:pPr>
            <w:r>
              <w:t>Packet format</w:t>
            </w:r>
          </w:p>
        </w:tc>
        <w:tc>
          <w:tcPr>
            <w:tcW w:w="6645" w:type="dxa"/>
            <w:shd w:val="clear" w:color="auto" w:fill="auto"/>
            <w:vAlign w:val="center"/>
          </w:tcPr>
          <w:p w14:paraId="4BA216BA">
            <w:pPr>
              <w:pStyle w:val="6"/>
              <w:widowControl/>
              <w:spacing w:beforeAutospacing="0" w:afterAutospacing="0" w:line="324" w:lineRule="atLeast"/>
            </w:pPr>
            <w:r>
              <w:t>204/188 self-adaption for input, 204/188 is settable for output</w:t>
            </w:r>
          </w:p>
        </w:tc>
      </w:tr>
      <w:tr w14:paraId="6D8B41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763D9C18">
            <w:pPr>
              <w:jc w:val="left"/>
              <w:rPr>
                <w:rFonts w:ascii="宋体"/>
                <w:sz w:val="24"/>
                <w:szCs w:val="24"/>
              </w:rPr>
            </w:pPr>
          </w:p>
        </w:tc>
        <w:tc>
          <w:tcPr>
            <w:tcW w:w="2235" w:type="dxa"/>
            <w:shd w:val="clear" w:color="auto" w:fill="auto"/>
            <w:vAlign w:val="center"/>
          </w:tcPr>
          <w:p w14:paraId="6149E15C">
            <w:pPr>
              <w:pStyle w:val="6"/>
              <w:widowControl/>
              <w:spacing w:beforeAutospacing="0" w:afterAutospacing="0" w:line="324" w:lineRule="atLeast"/>
            </w:pPr>
            <w:r>
              <w:t>Output TS Mode</w:t>
            </w:r>
          </w:p>
        </w:tc>
        <w:tc>
          <w:tcPr>
            <w:tcW w:w="6645" w:type="dxa"/>
            <w:shd w:val="clear" w:color="auto" w:fill="auto"/>
            <w:vAlign w:val="center"/>
          </w:tcPr>
          <w:p w14:paraId="02D160A0">
            <w:pPr>
              <w:pStyle w:val="6"/>
              <w:widowControl/>
              <w:spacing w:beforeAutospacing="0" w:afterAutospacing="0" w:line="324" w:lineRule="atLeast"/>
            </w:pPr>
            <w:r>
              <w:t>bytes/packets</w:t>
            </w:r>
          </w:p>
        </w:tc>
      </w:tr>
      <w:tr w14:paraId="4A44A8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785" w:type="dxa"/>
            <w:vMerge w:val="restart"/>
            <w:shd w:val="clear" w:color="auto" w:fill="auto"/>
            <w:vAlign w:val="center"/>
          </w:tcPr>
          <w:p w14:paraId="6F3178CE">
            <w:pPr>
              <w:pStyle w:val="6"/>
              <w:widowControl/>
              <w:spacing w:beforeAutospacing="0" w:afterAutospacing="0" w:line="324" w:lineRule="atLeast"/>
            </w:pPr>
            <w:r>
              <w:rPr>
                <w:rStyle w:val="10"/>
              </w:rPr>
              <w:t>Re-multiplex</w:t>
            </w:r>
          </w:p>
        </w:tc>
        <w:tc>
          <w:tcPr>
            <w:tcW w:w="2235" w:type="dxa"/>
            <w:vMerge w:val="restart"/>
            <w:shd w:val="clear" w:color="auto" w:fill="auto"/>
            <w:vAlign w:val="center"/>
          </w:tcPr>
          <w:p w14:paraId="01A4CC54">
            <w:pPr>
              <w:pStyle w:val="6"/>
              <w:widowControl/>
              <w:spacing w:beforeAutospacing="0" w:afterAutospacing="0" w:line="324" w:lineRule="atLeast"/>
            </w:pPr>
            <w:r>
              <w:t>Max PID numbers</w:t>
            </w:r>
          </w:p>
        </w:tc>
        <w:tc>
          <w:tcPr>
            <w:tcW w:w="6645" w:type="dxa"/>
            <w:shd w:val="clear" w:color="auto" w:fill="auto"/>
            <w:vAlign w:val="center"/>
          </w:tcPr>
          <w:p w14:paraId="4CB1040E">
            <w:pPr>
              <w:pStyle w:val="6"/>
              <w:widowControl/>
              <w:spacing w:beforeAutospacing="0" w:afterAutospacing="0" w:line="324" w:lineRule="atLeast"/>
            </w:pPr>
            <w:r>
              <w:t>748 PID numbers for GE1</w:t>
            </w:r>
          </w:p>
        </w:tc>
      </w:tr>
      <w:tr w14:paraId="544127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785" w:type="dxa"/>
            <w:vMerge w:val="continue"/>
            <w:shd w:val="clear" w:color="auto" w:fill="auto"/>
            <w:vAlign w:val="center"/>
          </w:tcPr>
          <w:p w14:paraId="02C697DF">
            <w:pPr>
              <w:jc w:val="left"/>
              <w:rPr>
                <w:rFonts w:ascii="宋体"/>
                <w:sz w:val="24"/>
                <w:szCs w:val="24"/>
              </w:rPr>
            </w:pPr>
          </w:p>
        </w:tc>
        <w:tc>
          <w:tcPr>
            <w:tcW w:w="2235" w:type="dxa"/>
            <w:vMerge w:val="continue"/>
            <w:shd w:val="clear" w:color="auto" w:fill="auto"/>
            <w:vAlign w:val="center"/>
          </w:tcPr>
          <w:p w14:paraId="08BDEC2D">
            <w:pPr>
              <w:jc w:val="left"/>
              <w:rPr>
                <w:rFonts w:ascii="宋体"/>
                <w:sz w:val="24"/>
                <w:szCs w:val="24"/>
              </w:rPr>
            </w:pPr>
          </w:p>
        </w:tc>
        <w:tc>
          <w:tcPr>
            <w:tcW w:w="6645" w:type="dxa"/>
            <w:shd w:val="clear" w:color="auto" w:fill="auto"/>
            <w:vAlign w:val="center"/>
          </w:tcPr>
          <w:p w14:paraId="02E0F8D7">
            <w:pPr>
              <w:pStyle w:val="6"/>
              <w:widowControl/>
              <w:spacing w:beforeAutospacing="0" w:afterAutospacing="0" w:line="324" w:lineRule="atLeast"/>
            </w:pPr>
            <w:r>
              <w:t>748 PID numbers for GE 2</w:t>
            </w:r>
          </w:p>
        </w:tc>
      </w:tr>
      <w:tr w14:paraId="126AD2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1785" w:type="dxa"/>
            <w:vMerge w:val="continue"/>
            <w:shd w:val="clear" w:color="auto" w:fill="auto"/>
            <w:vAlign w:val="center"/>
          </w:tcPr>
          <w:p w14:paraId="189090AD">
            <w:pPr>
              <w:jc w:val="left"/>
              <w:rPr>
                <w:rFonts w:ascii="宋体"/>
                <w:sz w:val="24"/>
                <w:szCs w:val="24"/>
              </w:rPr>
            </w:pPr>
          </w:p>
        </w:tc>
        <w:tc>
          <w:tcPr>
            <w:tcW w:w="2235" w:type="dxa"/>
            <w:vMerge w:val="continue"/>
            <w:shd w:val="clear" w:color="auto" w:fill="auto"/>
            <w:vAlign w:val="center"/>
          </w:tcPr>
          <w:p w14:paraId="3EC69DB5">
            <w:pPr>
              <w:jc w:val="left"/>
              <w:rPr>
                <w:rFonts w:ascii="宋体"/>
                <w:sz w:val="24"/>
                <w:szCs w:val="24"/>
              </w:rPr>
            </w:pPr>
          </w:p>
        </w:tc>
        <w:tc>
          <w:tcPr>
            <w:tcW w:w="6645" w:type="dxa"/>
            <w:shd w:val="clear" w:color="auto" w:fill="auto"/>
            <w:vAlign w:val="center"/>
          </w:tcPr>
          <w:p w14:paraId="2648A883">
            <w:pPr>
              <w:pStyle w:val="6"/>
              <w:widowControl/>
              <w:spacing w:beforeAutospacing="0" w:afterAutospacing="0" w:line="324" w:lineRule="atLeast"/>
            </w:pPr>
            <w:r>
              <w:t>748 PID numbers for DATA port and 4 ASI ports together</w:t>
            </w:r>
          </w:p>
        </w:tc>
      </w:tr>
      <w:tr w14:paraId="2ECE07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4AAE4130">
            <w:pPr>
              <w:jc w:val="left"/>
              <w:rPr>
                <w:rFonts w:ascii="宋体"/>
                <w:sz w:val="24"/>
                <w:szCs w:val="24"/>
              </w:rPr>
            </w:pPr>
          </w:p>
        </w:tc>
        <w:tc>
          <w:tcPr>
            <w:tcW w:w="2235" w:type="dxa"/>
            <w:vMerge w:val="restart"/>
            <w:shd w:val="clear" w:color="auto" w:fill="auto"/>
            <w:vAlign w:val="center"/>
          </w:tcPr>
          <w:p w14:paraId="5E73B80F">
            <w:pPr>
              <w:pStyle w:val="6"/>
              <w:widowControl/>
              <w:spacing w:beforeAutospacing="0" w:afterAutospacing="0" w:line="324" w:lineRule="atLeast"/>
            </w:pPr>
            <w:r>
              <w:t>Functions</w:t>
            </w:r>
          </w:p>
        </w:tc>
        <w:tc>
          <w:tcPr>
            <w:tcW w:w="6645" w:type="dxa"/>
            <w:shd w:val="clear" w:color="auto" w:fill="auto"/>
            <w:vAlign w:val="center"/>
          </w:tcPr>
          <w:p w14:paraId="1576D2A0">
            <w:pPr>
              <w:pStyle w:val="6"/>
              <w:widowControl/>
              <w:spacing w:beforeAutospacing="0" w:afterAutospacing="0" w:line="324" w:lineRule="atLeast"/>
            </w:pPr>
            <w:r>
              <w:t>PID re-mapping</w:t>
            </w:r>
          </w:p>
        </w:tc>
      </w:tr>
      <w:tr w14:paraId="599384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5897BCF0">
            <w:pPr>
              <w:jc w:val="left"/>
              <w:rPr>
                <w:rFonts w:ascii="宋体"/>
                <w:sz w:val="24"/>
                <w:szCs w:val="24"/>
              </w:rPr>
            </w:pPr>
          </w:p>
        </w:tc>
        <w:tc>
          <w:tcPr>
            <w:tcW w:w="2235" w:type="dxa"/>
            <w:vMerge w:val="continue"/>
            <w:shd w:val="clear" w:color="auto" w:fill="auto"/>
            <w:vAlign w:val="center"/>
          </w:tcPr>
          <w:p w14:paraId="105F5CCB">
            <w:pPr>
              <w:jc w:val="left"/>
              <w:rPr>
                <w:rFonts w:ascii="宋体"/>
                <w:sz w:val="24"/>
                <w:szCs w:val="24"/>
              </w:rPr>
            </w:pPr>
          </w:p>
        </w:tc>
        <w:tc>
          <w:tcPr>
            <w:tcW w:w="6645" w:type="dxa"/>
            <w:shd w:val="clear" w:color="auto" w:fill="auto"/>
            <w:vAlign w:val="center"/>
          </w:tcPr>
          <w:p w14:paraId="38E59B07">
            <w:pPr>
              <w:pStyle w:val="6"/>
              <w:widowControl/>
              <w:spacing w:beforeAutospacing="0" w:afterAutospacing="0" w:line="324" w:lineRule="atLeast"/>
            </w:pPr>
            <w:r>
              <w:t>PCR accurate adjusting</w:t>
            </w:r>
          </w:p>
        </w:tc>
      </w:tr>
      <w:tr w14:paraId="00B80E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2466F173">
            <w:pPr>
              <w:jc w:val="left"/>
              <w:rPr>
                <w:rFonts w:ascii="宋体"/>
                <w:sz w:val="24"/>
                <w:szCs w:val="24"/>
              </w:rPr>
            </w:pPr>
          </w:p>
        </w:tc>
        <w:tc>
          <w:tcPr>
            <w:tcW w:w="2235" w:type="dxa"/>
            <w:vMerge w:val="continue"/>
            <w:shd w:val="clear" w:color="auto" w:fill="auto"/>
            <w:vAlign w:val="center"/>
          </w:tcPr>
          <w:p w14:paraId="6641BBA0">
            <w:pPr>
              <w:jc w:val="left"/>
              <w:rPr>
                <w:rFonts w:ascii="宋体"/>
                <w:sz w:val="24"/>
                <w:szCs w:val="24"/>
              </w:rPr>
            </w:pPr>
          </w:p>
        </w:tc>
        <w:tc>
          <w:tcPr>
            <w:tcW w:w="6645" w:type="dxa"/>
            <w:shd w:val="clear" w:color="auto" w:fill="auto"/>
            <w:vAlign w:val="center"/>
          </w:tcPr>
          <w:p w14:paraId="2AA8472B">
            <w:pPr>
              <w:pStyle w:val="6"/>
              <w:widowControl/>
              <w:spacing w:beforeAutospacing="0" w:afterAutospacing="0" w:line="324" w:lineRule="atLeast"/>
            </w:pPr>
            <w:r>
              <w:t>Automatic generating PSI/SI table</w:t>
            </w:r>
          </w:p>
        </w:tc>
      </w:tr>
      <w:tr w14:paraId="56ABCC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26585896">
            <w:pPr>
              <w:jc w:val="left"/>
              <w:rPr>
                <w:rFonts w:ascii="宋体"/>
                <w:sz w:val="24"/>
                <w:szCs w:val="24"/>
              </w:rPr>
            </w:pPr>
          </w:p>
        </w:tc>
        <w:tc>
          <w:tcPr>
            <w:tcW w:w="2235" w:type="dxa"/>
            <w:shd w:val="clear" w:color="auto" w:fill="auto"/>
            <w:vAlign w:val="center"/>
          </w:tcPr>
          <w:p w14:paraId="73417773">
            <w:pPr>
              <w:pStyle w:val="6"/>
              <w:widowControl/>
              <w:spacing w:beforeAutospacing="0" w:afterAutospacing="0" w:line="324" w:lineRule="atLeast"/>
            </w:pPr>
            <w:r>
              <w:t>PID transparent</w:t>
            </w:r>
          </w:p>
        </w:tc>
        <w:tc>
          <w:tcPr>
            <w:tcW w:w="6645" w:type="dxa"/>
            <w:shd w:val="clear" w:color="auto" w:fill="auto"/>
            <w:vAlign w:val="center"/>
          </w:tcPr>
          <w:p w14:paraId="3429EB80">
            <w:pPr>
              <w:pStyle w:val="6"/>
              <w:widowControl/>
              <w:spacing w:beforeAutospacing="0" w:afterAutospacing="0" w:line="324" w:lineRule="atLeast"/>
            </w:pPr>
            <w:r>
              <w:t>PID transparent and mapping achievable</w:t>
            </w:r>
          </w:p>
        </w:tc>
      </w:tr>
      <w:tr w14:paraId="637380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785" w:type="dxa"/>
            <w:vMerge w:val="restart"/>
            <w:shd w:val="clear" w:color="auto" w:fill="auto"/>
            <w:vAlign w:val="center"/>
          </w:tcPr>
          <w:p w14:paraId="48B5E723">
            <w:pPr>
              <w:pStyle w:val="6"/>
              <w:widowControl/>
              <w:spacing w:beforeAutospacing="0" w:afterAutospacing="0" w:line="324" w:lineRule="atLeast"/>
            </w:pPr>
            <w:r>
              <w:rPr>
                <w:rStyle w:val="10"/>
              </w:rPr>
              <w:t>System</w:t>
            </w:r>
          </w:p>
        </w:tc>
        <w:tc>
          <w:tcPr>
            <w:tcW w:w="8880" w:type="dxa"/>
            <w:gridSpan w:val="2"/>
            <w:shd w:val="clear" w:color="auto" w:fill="auto"/>
            <w:vAlign w:val="center"/>
          </w:tcPr>
          <w:p w14:paraId="59F0B486">
            <w:pPr>
              <w:pStyle w:val="6"/>
              <w:widowControl/>
              <w:spacing w:beforeAutospacing="0" w:afterAutospacing="0" w:line="324" w:lineRule="atLeast"/>
            </w:pPr>
            <w:r>
              <w:t>Web management:10/100M NMS port</w:t>
            </w:r>
          </w:p>
        </w:tc>
      </w:tr>
      <w:tr w14:paraId="62033E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785" w:type="dxa"/>
            <w:vMerge w:val="continue"/>
            <w:shd w:val="clear" w:color="auto" w:fill="auto"/>
            <w:vAlign w:val="center"/>
          </w:tcPr>
          <w:p w14:paraId="0F2312EC">
            <w:pPr>
              <w:jc w:val="left"/>
              <w:rPr>
                <w:rFonts w:ascii="宋体"/>
                <w:sz w:val="24"/>
                <w:szCs w:val="24"/>
              </w:rPr>
            </w:pPr>
          </w:p>
        </w:tc>
        <w:tc>
          <w:tcPr>
            <w:tcW w:w="8880" w:type="dxa"/>
            <w:gridSpan w:val="2"/>
            <w:shd w:val="clear" w:color="auto" w:fill="auto"/>
            <w:vAlign w:val="center"/>
          </w:tcPr>
          <w:p w14:paraId="5A1C568B">
            <w:pPr>
              <w:pStyle w:val="6"/>
              <w:widowControl/>
              <w:spacing w:beforeAutospacing="0" w:afterAutospacing="0" w:line="324" w:lineRule="atLeast"/>
            </w:pPr>
            <w:r>
              <w:t>Language: English and Chinese</w:t>
            </w:r>
          </w:p>
        </w:tc>
      </w:tr>
      <w:tr w14:paraId="3A0B72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785" w:type="dxa"/>
            <w:vMerge w:val="continue"/>
            <w:shd w:val="clear" w:color="auto" w:fill="auto"/>
            <w:vAlign w:val="center"/>
          </w:tcPr>
          <w:p w14:paraId="4EE8A198">
            <w:pPr>
              <w:jc w:val="left"/>
              <w:rPr>
                <w:rFonts w:ascii="宋体"/>
                <w:sz w:val="24"/>
                <w:szCs w:val="24"/>
              </w:rPr>
            </w:pPr>
          </w:p>
        </w:tc>
        <w:tc>
          <w:tcPr>
            <w:tcW w:w="8880" w:type="dxa"/>
            <w:gridSpan w:val="2"/>
            <w:shd w:val="clear" w:color="auto" w:fill="auto"/>
            <w:vAlign w:val="center"/>
          </w:tcPr>
          <w:p w14:paraId="5BD922A9">
            <w:pPr>
              <w:pStyle w:val="6"/>
              <w:widowControl/>
              <w:spacing w:beforeAutospacing="0" w:afterAutospacing="0" w:line="324" w:lineRule="atLeast"/>
            </w:pPr>
            <w:r>
              <w:t>Ethernet software upgrade</w:t>
            </w:r>
          </w:p>
        </w:tc>
      </w:tr>
      <w:tr w14:paraId="38D9D0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1785" w:type="dxa"/>
            <w:vMerge w:val="restart"/>
            <w:shd w:val="clear" w:color="auto" w:fill="auto"/>
            <w:vAlign w:val="center"/>
          </w:tcPr>
          <w:p w14:paraId="0FB735AE">
            <w:pPr>
              <w:pStyle w:val="6"/>
              <w:widowControl/>
              <w:spacing w:beforeAutospacing="0" w:afterAutospacing="0" w:line="324" w:lineRule="atLeast"/>
            </w:pPr>
            <w:r>
              <w:rPr>
                <w:rStyle w:val="10"/>
              </w:rPr>
              <w:t>General</w:t>
            </w:r>
          </w:p>
        </w:tc>
        <w:tc>
          <w:tcPr>
            <w:tcW w:w="2235" w:type="dxa"/>
            <w:shd w:val="clear" w:color="auto" w:fill="auto"/>
            <w:vAlign w:val="center"/>
          </w:tcPr>
          <w:p w14:paraId="608264CB">
            <w:pPr>
              <w:pStyle w:val="6"/>
              <w:widowControl/>
              <w:spacing w:beforeAutospacing="0" w:afterAutospacing="0" w:line="324" w:lineRule="atLeast"/>
            </w:pPr>
            <w:r>
              <w:t>Dimensions</w:t>
            </w:r>
          </w:p>
        </w:tc>
        <w:tc>
          <w:tcPr>
            <w:tcW w:w="6645" w:type="dxa"/>
            <w:shd w:val="clear" w:color="auto" w:fill="auto"/>
            <w:vAlign w:val="center"/>
          </w:tcPr>
          <w:p w14:paraId="61DEBC80">
            <w:pPr>
              <w:pStyle w:val="6"/>
              <w:widowControl/>
              <w:spacing w:beforeAutospacing="0" w:afterAutospacing="0" w:line="324" w:lineRule="atLeast"/>
            </w:pPr>
            <w:r>
              <w:t>482mm×300mm×44mm (WxLxH)</w:t>
            </w:r>
          </w:p>
        </w:tc>
      </w:tr>
      <w:tr w14:paraId="445164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4E0C144C">
            <w:pPr>
              <w:jc w:val="left"/>
              <w:rPr>
                <w:rFonts w:ascii="宋体"/>
                <w:sz w:val="24"/>
                <w:szCs w:val="24"/>
              </w:rPr>
            </w:pPr>
          </w:p>
        </w:tc>
        <w:tc>
          <w:tcPr>
            <w:tcW w:w="2235" w:type="dxa"/>
            <w:shd w:val="clear" w:color="auto" w:fill="auto"/>
            <w:vAlign w:val="center"/>
          </w:tcPr>
          <w:p w14:paraId="669D93FB">
            <w:pPr>
              <w:pStyle w:val="6"/>
              <w:widowControl/>
              <w:spacing w:beforeAutospacing="0" w:afterAutospacing="0" w:line="324" w:lineRule="atLeast"/>
            </w:pPr>
            <w:r>
              <w:t>Weight</w:t>
            </w:r>
          </w:p>
        </w:tc>
        <w:tc>
          <w:tcPr>
            <w:tcW w:w="6645" w:type="dxa"/>
            <w:shd w:val="clear" w:color="auto" w:fill="auto"/>
            <w:vAlign w:val="center"/>
          </w:tcPr>
          <w:p w14:paraId="1F9B4483">
            <w:pPr>
              <w:pStyle w:val="6"/>
              <w:widowControl/>
              <w:spacing w:beforeAutospacing="0" w:afterAutospacing="0" w:line="324" w:lineRule="atLeast"/>
            </w:pPr>
            <w:r>
              <w:t>3.5kg</w:t>
            </w:r>
          </w:p>
        </w:tc>
      </w:tr>
      <w:tr w14:paraId="55C402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2EE6304B">
            <w:pPr>
              <w:jc w:val="left"/>
              <w:rPr>
                <w:rFonts w:ascii="宋体"/>
                <w:sz w:val="24"/>
                <w:szCs w:val="24"/>
              </w:rPr>
            </w:pPr>
          </w:p>
        </w:tc>
        <w:tc>
          <w:tcPr>
            <w:tcW w:w="2235" w:type="dxa"/>
            <w:shd w:val="clear" w:color="auto" w:fill="auto"/>
            <w:vAlign w:val="center"/>
          </w:tcPr>
          <w:p w14:paraId="4EF8940C">
            <w:pPr>
              <w:pStyle w:val="6"/>
              <w:widowControl/>
              <w:spacing w:beforeAutospacing="0" w:afterAutospacing="0" w:line="324" w:lineRule="atLeast"/>
            </w:pPr>
            <w:r>
              <w:t>Temperature</w:t>
            </w:r>
          </w:p>
        </w:tc>
        <w:tc>
          <w:tcPr>
            <w:tcW w:w="6645" w:type="dxa"/>
            <w:shd w:val="clear" w:color="auto" w:fill="auto"/>
            <w:vAlign w:val="center"/>
          </w:tcPr>
          <w:p w14:paraId="3D3B40E9">
            <w:pPr>
              <w:pStyle w:val="6"/>
              <w:widowControl/>
              <w:spacing w:beforeAutospacing="0" w:afterAutospacing="0" w:line="324" w:lineRule="atLeast"/>
            </w:pPr>
            <w:r>
              <w:t>0~45℃(operation), -20~80℃(storage)</w:t>
            </w:r>
          </w:p>
        </w:tc>
      </w:tr>
      <w:tr w14:paraId="4BEF7D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7608912D">
            <w:pPr>
              <w:jc w:val="left"/>
              <w:rPr>
                <w:rFonts w:ascii="宋体"/>
                <w:sz w:val="24"/>
                <w:szCs w:val="24"/>
              </w:rPr>
            </w:pPr>
          </w:p>
        </w:tc>
        <w:tc>
          <w:tcPr>
            <w:tcW w:w="2235" w:type="dxa"/>
            <w:shd w:val="clear" w:color="auto" w:fill="auto"/>
            <w:vAlign w:val="center"/>
          </w:tcPr>
          <w:p w14:paraId="69013298">
            <w:pPr>
              <w:pStyle w:val="6"/>
              <w:widowControl/>
              <w:spacing w:beforeAutospacing="0" w:afterAutospacing="0" w:line="324" w:lineRule="atLeast"/>
            </w:pPr>
            <w:r>
              <w:t>Power supply</w:t>
            </w:r>
          </w:p>
        </w:tc>
        <w:tc>
          <w:tcPr>
            <w:tcW w:w="6645" w:type="dxa"/>
            <w:shd w:val="clear" w:color="auto" w:fill="auto"/>
            <w:vAlign w:val="center"/>
          </w:tcPr>
          <w:p w14:paraId="40889341">
            <w:pPr>
              <w:pStyle w:val="6"/>
              <w:widowControl/>
              <w:spacing w:beforeAutospacing="0" w:afterAutospacing="0" w:line="324" w:lineRule="atLeast"/>
            </w:pPr>
            <w:r>
              <w:t>AC 110V±10%, 50/60Hz Or AC 220V±10%, 50/60Hz</w:t>
            </w:r>
          </w:p>
        </w:tc>
      </w:tr>
      <w:tr w14:paraId="106603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85" w:type="dxa"/>
            <w:vMerge w:val="continue"/>
            <w:shd w:val="clear" w:color="auto" w:fill="auto"/>
            <w:vAlign w:val="center"/>
          </w:tcPr>
          <w:p w14:paraId="03306110">
            <w:pPr>
              <w:jc w:val="left"/>
              <w:rPr>
                <w:rFonts w:ascii="宋体"/>
                <w:sz w:val="24"/>
                <w:szCs w:val="24"/>
              </w:rPr>
            </w:pPr>
          </w:p>
        </w:tc>
        <w:tc>
          <w:tcPr>
            <w:tcW w:w="2235" w:type="dxa"/>
            <w:shd w:val="clear" w:color="auto" w:fill="auto"/>
            <w:vAlign w:val="center"/>
          </w:tcPr>
          <w:p w14:paraId="36612BA1">
            <w:pPr>
              <w:pStyle w:val="6"/>
              <w:widowControl/>
              <w:spacing w:beforeAutospacing="0" w:afterAutospacing="0" w:line="324" w:lineRule="atLeast"/>
            </w:pPr>
            <w:r>
              <w:t>Consumption</w:t>
            </w:r>
          </w:p>
        </w:tc>
        <w:tc>
          <w:tcPr>
            <w:tcW w:w="6645" w:type="dxa"/>
            <w:shd w:val="clear" w:color="auto" w:fill="auto"/>
            <w:vAlign w:val="center"/>
          </w:tcPr>
          <w:p w14:paraId="529374A5">
            <w:pPr>
              <w:pStyle w:val="6"/>
              <w:widowControl/>
              <w:spacing w:beforeAutospacing="0" w:afterAutospacing="0" w:line="324" w:lineRule="atLeast"/>
            </w:pPr>
            <w:r>
              <w:t>≤40W</w:t>
            </w:r>
          </w:p>
        </w:tc>
      </w:tr>
    </w:tbl>
    <w:p w14:paraId="2CC4150D">
      <w:pPr>
        <w:pStyle w:val="6"/>
        <w:widowControl/>
        <w:spacing w:beforeAutospacing="0" w:afterAutospacing="0" w:line="324" w:lineRule="atLeast"/>
      </w:pPr>
      <w:r>
        <w:rPr>
          <w:rFonts w:ascii="Verdana" w:hAnsi="Verdana" w:cs="Verdana"/>
          <w:color w:val="333333"/>
          <w:sz w:val="18"/>
          <w:szCs w:val="18"/>
          <w:shd w:val="clear" w:color="auto" w:fill="FEFCFD"/>
        </w:rPr>
        <w:t> </w:t>
      </w:r>
    </w:p>
    <w:p w14:paraId="268F5CFE">
      <w:pPr>
        <w:widowControl/>
        <w:shd w:val="clear" w:color="auto" w:fill="F2F2F4"/>
        <w:jc w:val="left"/>
        <w:rPr>
          <w:rFonts w:ascii="Verdana" w:hAnsi="Verdana" w:cs="Verdana"/>
          <w:color w:val="333333"/>
          <w:sz w:val="18"/>
          <w:szCs w:val="18"/>
        </w:rPr>
      </w:pPr>
    </w:p>
    <w:p w14:paraId="51AFAD03">
      <w:pPr>
        <w:rPr>
          <w:rFonts w:ascii="Verdana" w:hAnsi="Verdana" w:cs="Verdana"/>
          <w:color w:val="000000"/>
          <w:sz w:val="28"/>
        </w:rPr>
      </w:pPr>
    </w:p>
    <w:p w14:paraId="23A3C4FB">
      <w:pPr>
        <w:rPr>
          <w:rFonts w:ascii="Verdana" w:hAnsi="Verdana" w:cs="Verdana"/>
          <w:b/>
          <w:color w:val="000000"/>
          <w:sz w:val="22"/>
        </w:rPr>
      </w:pPr>
      <w:r>
        <w:rPr>
          <w:rFonts w:hint="eastAsia" w:ascii="Verdana" w:hAnsi="Verdana" w:cs="Verdana"/>
          <w:b/>
          <w:color w:val="000000"/>
          <w:sz w:val="22"/>
        </w:rPr>
        <w:t>About Us</w:t>
      </w:r>
    </w:p>
    <w:p w14:paraId="0744D8DF">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A22272B">
      <w:pPr>
        <w:rPr>
          <w:rFonts w:ascii="Verdana" w:hAnsi="Verdana" w:cs="Verdana"/>
          <w:color w:val="000000"/>
          <w:sz w:val="18"/>
        </w:rPr>
      </w:pPr>
    </w:p>
    <w:p w14:paraId="7C14D399">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7EBE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1141E45">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18C5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6F1A60"/>
    <w:rsid w:val="00731840"/>
    <w:rsid w:val="007349B0"/>
    <w:rsid w:val="007359E2"/>
    <w:rsid w:val="0077681E"/>
    <w:rsid w:val="00833026"/>
    <w:rsid w:val="008D6808"/>
    <w:rsid w:val="00952937"/>
    <w:rsid w:val="00970DB8"/>
    <w:rsid w:val="00A16F8C"/>
    <w:rsid w:val="00A35CEF"/>
    <w:rsid w:val="00AE759F"/>
    <w:rsid w:val="00AF7C10"/>
    <w:rsid w:val="00B11FEF"/>
    <w:rsid w:val="00B4381C"/>
    <w:rsid w:val="00B539FF"/>
    <w:rsid w:val="00B56E04"/>
    <w:rsid w:val="00BD4043"/>
    <w:rsid w:val="00C40E7D"/>
    <w:rsid w:val="00C44FAF"/>
    <w:rsid w:val="00D24477"/>
    <w:rsid w:val="00F268A0"/>
    <w:rsid w:val="00F714FF"/>
    <w:rsid w:val="00F7593F"/>
    <w:rsid w:val="00FC60FC"/>
    <w:rsid w:val="033D434A"/>
    <w:rsid w:val="0A680B1B"/>
    <w:rsid w:val="0CF34BEE"/>
    <w:rsid w:val="0E714EC9"/>
    <w:rsid w:val="0FC87CEA"/>
    <w:rsid w:val="101C4557"/>
    <w:rsid w:val="11B77CDC"/>
    <w:rsid w:val="15C25510"/>
    <w:rsid w:val="1652601E"/>
    <w:rsid w:val="18AE427D"/>
    <w:rsid w:val="18E81EA3"/>
    <w:rsid w:val="19520A0D"/>
    <w:rsid w:val="1B974A15"/>
    <w:rsid w:val="1CDC4CA0"/>
    <w:rsid w:val="1FCC39C5"/>
    <w:rsid w:val="20C951C5"/>
    <w:rsid w:val="20F61905"/>
    <w:rsid w:val="2199682E"/>
    <w:rsid w:val="239E3C7B"/>
    <w:rsid w:val="2764734F"/>
    <w:rsid w:val="27B55639"/>
    <w:rsid w:val="2A752F8B"/>
    <w:rsid w:val="2C665CEA"/>
    <w:rsid w:val="2E0F6BE8"/>
    <w:rsid w:val="314F3E41"/>
    <w:rsid w:val="3A030433"/>
    <w:rsid w:val="3B533162"/>
    <w:rsid w:val="45872050"/>
    <w:rsid w:val="478E224E"/>
    <w:rsid w:val="485E04E5"/>
    <w:rsid w:val="487316FE"/>
    <w:rsid w:val="49B75FAC"/>
    <w:rsid w:val="4E4A4BF6"/>
    <w:rsid w:val="4F8D25ED"/>
    <w:rsid w:val="51AD130D"/>
    <w:rsid w:val="540A3FAB"/>
    <w:rsid w:val="562E484B"/>
    <w:rsid w:val="56834992"/>
    <w:rsid w:val="568A5694"/>
    <w:rsid w:val="5930748A"/>
    <w:rsid w:val="59933671"/>
    <w:rsid w:val="5AA83521"/>
    <w:rsid w:val="5EEA5249"/>
    <w:rsid w:val="609213A6"/>
    <w:rsid w:val="61BA6334"/>
    <w:rsid w:val="63C27F07"/>
    <w:rsid w:val="68AD6386"/>
    <w:rsid w:val="6D7A6503"/>
    <w:rsid w:val="70757613"/>
    <w:rsid w:val="70B756B4"/>
    <w:rsid w:val="73270F88"/>
    <w:rsid w:val="74252A28"/>
    <w:rsid w:val="74455F31"/>
    <w:rsid w:val="7540100C"/>
    <w:rsid w:val="7629279B"/>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hyperlink" Target="https://english.dsdvb.com/Upload/images/Product/Multiplexer/DX3504/3EEECN_20211025034635.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332</Words>
  <Characters>1917</Characters>
  <Lines>18</Lines>
  <Paragraphs>5</Paragraphs>
  <TotalTime>0</TotalTime>
  <ScaleCrop>false</ScaleCrop>
  <LinksUpToDate>false</LinksUpToDate>
  <CharactersWithSpaces>2210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2025-08-20T07:29:01Z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