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4F2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eastAsiaTheme="minorEastAsia"/>
          <w:lang w:eastAsia="zh-CN"/>
        </w:rPr>
      </w:pPr>
      <w:bookmarkStart w:id="0" w:name="_GoBack"/>
      <w:r>
        <w:rPr>
          <w:rFonts w:hint="eastAsia" w:ascii="Verdana" w:hAnsi="Verdana" w:cs="Verdana"/>
          <w:b/>
          <w:i w:val="0"/>
          <w:strike w:val="0"/>
          <w:color w:val="000000"/>
          <w:sz w:val="28"/>
          <w:lang w:val="en-US" w:eastAsia="zh-CN"/>
        </w:rPr>
        <w:t>FMUSER FUQ-3512B DVB-T Modulator 2 ASI 2 IP Input RF Output EN300744 QPSK-16QAM-64QAM DPD SFN-MFN Network Web Management TV Broadcasting</w:t>
      </w:r>
      <w:bookmarkEnd w:id="0"/>
      <w:r>
        <w:rPr>
          <w:rFonts w:hint="default" w:ascii="Verdana" w:hAnsi="Verdana" w:cs="Verdana"/>
          <w:b w:val="0"/>
          <w:i w:val="0"/>
          <w:strike w:val="0"/>
          <w:color w:val="000000"/>
          <w:sz w:val="28"/>
          <w:lang w:val="en-US" w:eastAsia="zh-CN"/>
        </w:rPr>
        <w:drawing>
          <wp:inline distT="0" distB="0" distL="114300" distR="114300">
            <wp:extent cx="6172200" cy="3390900"/>
            <wp:effectExtent l="0" t="0" r="0" b="0"/>
            <wp:docPr id="1" name="图片 1" descr="3EEECN_20210416092253"/>
            <wp:cNvGraphicFramePr/>
            <a:graphic xmlns:a="http://schemas.openxmlformats.org/drawingml/2006/main">
              <a:graphicData uri="http://schemas.openxmlformats.org/drawingml/2006/picture">
                <pic:pic xmlns:pic="http://schemas.openxmlformats.org/drawingml/2006/picture">
                  <pic:nvPicPr>
                    <pic:cNvPr id="1" name="图片 1" descr="3EEECN_20210416092253"/>
                    <pic:cNvPicPr/>
                  </pic:nvPicPr>
                  <pic:blipFill>
                    <a:blip r:embed="rId6"/>
                    <a:stretch>
                      <a:fillRect/>
                    </a:stretch>
                  </pic:blipFill>
                  <pic:spPr>
                    <a:xfrm>
                      <a:off x="0" y="0"/>
                      <a:ext cx="6172200" cy="3390900"/>
                    </a:xfrm>
                    <a:prstGeom prst="rect">
                      <a:avLst/>
                    </a:prstGeom>
                  </pic:spPr>
                </pic:pic>
              </a:graphicData>
            </a:graphic>
          </wp:inline>
        </w:drawing>
      </w:r>
      <w:r>
        <w:rPr>
          <w:rStyle w:val="10"/>
          <w:rFonts w:hint="eastAsia" w:ascii="Verdana" w:hAnsi="Verdana" w:cs="Verdana"/>
          <w:i w:val="0"/>
          <w:iCs w:val="0"/>
          <w:caps w:val="0"/>
          <w:color w:val="333333"/>
          <w:spacing w:val="0"/>
          <w:sz w:val="18"/>
          <w:szCs w:val="18"/>
          <w:shd w:val="clear" w:fill="FEFCFD"/>
          <w:lang w:eastAsia="zh-CN"/>
        </w:rPr>
        <w:t>Product overview</w:t>
      </w:r>
    </w:p>
    <w:p w14:paraId="289F0B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pPr>
      <w:r>
        <w:rPr>
          <w:rFonts w:hint="eastAsia" w:ascii="Verdana" w:hAnsi="Verdana" w:cs="Verdana"/>
          <w:i w:val="0"/>
          <w:iCs w:val="0"/>
          <w:caps w:val="0"/>
          <w:color w:val="333333"/>
          <w:spacing w:val="0"/>
          <w:sz w:val="18"/>
          <w:szCs w:val="18"/>
          <w:shd w:val="clear" w:fill="FEFCFD"/>
          <w:lang w:eastAsia="zh-CN"/>
        </w:rPr>
        <w:t>The FMUSER FUQ-3512A DVB-T Modulator provides DVB-T (EN300744) compliant modulation with RF output. It processes signals for digital transmission and features web-based management for control. Ideal for MFN and SFN digital TV networks.</w:t>
      </w:r>
      <w:r>
        <w:rPr>
          <w:rFonts w:hint="default" w:ascii="Verdana" w:hAnsi="Verdana" w:cs="Verdana"/>
          <w:i w:val="0"/>
          <w:iCs w:val="0"/>
          <w:caps w:val="0"/>
          <w:color w:val="333333"/>
          <w:spacing w:val="0"/>
          <w:sz w:val="18"/>
          <w:szCs w:val="18"/>
          <w:shd w:val="clear" w:fill="FEFCFD"/>
        </w:rPr>
        <w:t> </w:t>
      </w:r>
    </w:p>
    <w:p w14:paraId="305A08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Style w:val="10"/>
          <w:rFonts w:hint="eastAsia" w:ascii="Verdana" w:hAnsi="Verdana" w:cs="Verdana"/>
          <w:i w:val="0"/>
          <w:iCs w:val="0"/>
          <w:caps w:val="0"/>
          <w:color w:val="333333"/>
          <w:spacing w:val="0"/>
          <w:sz w:val="18"/>
          <w:szCs w:val="18"/>
          <w:shd w:val="clear" w:fill="FEFCFD"/>
          <w:lang w:eastAsia="zh-CN"/>
        </w:rPr>
        <w:t>Key feature</w:t>
      </w:r>
    </w:p>
    <w:p w14:paraId="30C9D2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DVB-T (EN300744) compliance for reliable broadcasting.  </w:t>
      </w:r>
    </w:p>
    <w:p w14:paraId="5D2ACC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Features SFN and MFN network operation flexibility.  </w:t>
      </w:r>
    </w:p>
    <w:p w14:paraId="4712B3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Delivers MER ≥42dB with superior phase noise performance.  </w:t>
      </w:r>
    </w:p>
    <w:p w14:paraId="1B146A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Provides RF output at 50-1000MHz with 1Hz tuning precision.  </w:t>
      </w:r>
    </w:p>
    <w:p w14:paraId="46B066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pPr>
      <w:r>
        <w:rPr>
          <w:rFonts w:hint="default" w:ascii="Verdana" w:hAnsi="Verdana" w:cs="Verdana"/>
          <w:i w:val="0"/>
          <w:iCs w:val="0"/>
          <w:caps w:val="0"/>
          <w:color w:val="333333"/>
          <w:spacing w:val="0"/>
          <w:sz w:val="18"/>
          <w:szCs w:val="18"/>
          <w:shd w:val="clear" w:fill="FEFCFD"/>
        </w:rPr>
        <w:t>Includes adaptive non-linear digital pre-distortion (DPD) for efficiency optimization.   </w:t>
      </w:r>
    </w:p>
    <w:p w14:paraId="6326FD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pPr>
      <w:r>
        <w:rPr>
          <w:rStyle w:val="10"/>
          <w:rFonts w:hint="default" w:ascii="Verdana" w:hAnsi="Verdana" w:cs="Verdana"/>
          <w:i w:val="0"/>
          <w:iCs w:val="0"/>
          <w:caps w:val="0"/>
          <w:color w:val="333333"/>
          <w:spacing w:val="0"/>
          <w:sz w:val="18"/>
          <w:szCs w:val="18"/>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869"/>
        <w:gridCol w:w="3134"/>
        <w:gridCol w:w="4747"/>
      </w:tblGrid>
      <w:tr w14:paraId="33C498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75" w:hRule="atLeast"/>
          <w:tblCellSpacing w:w="0" w:type="dxa"/>
        </w:trPr>
        <w:tc>
          <w:tcPr>
            <w:tcW w:w="1852" w:type="dxa"/>
            <w:vMerge w:val="restart"/>
            <w:shd w:val="clear" w:color="auto" w:fill="auto"/>
            <w:vAlign w:val="center"/>
          </w:tcPr>
          <w:p w14:paraId="656100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Input</w:t>
            </w:r>
          </w:p>
        </w:tc>
        <w:tc>
          <w:tcPr>
            <w:tcW w:w="7808" w:type="dxa"/>
            <w:gridSpan w:val="2"/>
            <w:shd w:val="clear" w:color="auto" w:fill="auto"/>
            <w:vAlign w:val="center"/>
          </w:tcPr>
          <w:p w14:paraId="15D3B1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2channels ASI input&amp; 2 IP input, can only select 1 input as source, but all 4 inputs ports are hot backup</w:t>
            </w:r>
          </w:p>
          <w:p w14:paraId="5EDFEE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IP with UDP/RTP protocol, with Multicast/Unicast</w:t>
            </w:r>
          </w:p>
          <w:p w14:paraId="5994EE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IP with PCR adjust feature also</w:t>
            </w:r>
          </w:p>
        </w:tc>
      </w:tr>
      <w:tr w14:paraId="10DBF4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2B0D061B">
            <w:pPr>
              <w:jc w:val="left"/>
              <w:rPr>
                <w:rFonts w:hint="eastAsia" w:ascii="宋体"/>
                <w:sz w:val="24"/>
                <w:szCs w:val="24"/>
              </w:rPr>
            </w:pPr>
          </w:p>
        </w:tc>
        <w:tc>
          <w:tcPr>
            <w:tcW w:w="7808" w:type="dxa"/>
            <w:gridSpan w:val="2"/>
            <w:shd w:val="clear" w:color="auto" w:fill="auto"/>
            <w:vAlign w:val="center"/>
          </w:tcPr>
          <w:p w14:paraId="1A7A56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GPS 10Mhz reference clock input, BNC port</w:t>
            </w:r>
          </w:p>
        </w:tc>
      </w:tr>
      <w:tr w14:paraId="18F162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tblCellSpacing w:w="0" w:type="dxa"/>
        </w:trPr>
        <w:tc>
          <w:tcPr>
            <w:tcW w:w="1852" w:type="dxa"/>
            <w:vMerge w:val="continue"/>
            <w:shd w:val="clear" w:color="auto" w:fill="auto"/>
            <w:vAlign w:val="center"/>
          </w:tcPr>
          <w:p w14:paraId="3F749008">
            <w:pPr>
              <w:jc w:val="left"/>
              <w:rPr>
                <w:rFonts w:hint="eastAsia" w:ascii="宋体"/>
                <w:sz w:val="24"/>
                <w:szCs w:val="24"/>
              </w:rPr>
            </w:pPr>
          </w:p>
        </w:tc>
        <w:tc>
          <w:tcPr>
            <w:tcW w:w="7808" w:type="dxa"/>
            <w:gridSpan w:val="2"/>
            <w:shd w:val="clear" w:color="auto" w:fill="auto"/>
            <w:vAlign w:val="center"/>
          </w:tcPr>
          <w:p w14:paraId="136CD7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GPS 1PPS input, BNC port</w:t>
            </w:r>
          </w:p>
        </w:tc>
      </w:tr>
      <w:tr w14:paraId="2770F8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37D16252">
            <w:pPr>
              <w:jc w:val="left"/>
              <w:rPr>
                <w:rFonts w:hint="eastAsia" w:ascii="宋体"/>
                <w:sz w:val="24"/>
                <w:szCs w:val="24"/>
              </w:rPr>
            </w:pPr>
          </w:p>
        </w:tc>
        <w:tc>
          <w:tcPr>
            <w:tcW w:w="7808" w:type="dxa"/>
            <w:gridSpan w:val="2"/>
            <w:shd w:val="clear" w:color="auto" w:fill="auto"/>
            <w:vAlign w:val="center"/>
          </w:tcPr>
          <w:p w14:paraId="015D87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1 RF input for DPD  -25dbm~+5dbm</w:t>
            </w:r>
          </w:p>
        </w:tc>
      </w:tr>
      <w:tr w14:paraId="40C60E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restart"/>
            <w:shd w:val="clear" w:color="auto" w:fill="auto"/>
            <w:vAlign w:val="center"/>
          </w:tcPr>
          <w:p w14:paraId="0D82DA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Modulation</w:t>
            </w:r>
          </w:p>
        </w:tc>
        <w:tc>
          <w:tcPr>
            <w:tcW w:w="3105" w:type="dxa"/>
            <w:shd w:val="clear" w:color="auto" w:fill="auto"/>
            <w:vAlign w:val="center"/>
          </w:tcPr>
          <w:p w14:paraId="370B8D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4673" w:type="dxa"/>
            <w:shd w:val="clear" w:color="auto" w:fill="auto"/>
            <w:vAlign w:val="center"/>
          </w:tcPr>
          <w:p w14:paraId="4FF495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EN300 744</w:t>
            </w:r>
          </w:p>
        </w:tc>
      </w:tr>
      <w:tr w14:paraId="3A295D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continue"/>
            <w:shd w:val="clear" w:color="auto" w:fill="auto"/>
            <w:vAlign w:val="center"/>
          </w:tcPr>
          <w:p w14:paraId="6F28422D">
            <w:pPr>
              <w:jc w:val="left"/>
              <w:rPr>
                <w:rFonts w:hint="eastAsia" w:ascii="宋体"/>
                <w:sz w:val="24"/>
                <w:szCs w:val="24"/>
              </w:rPr>
            </w:pPr>
          </w:p>
        </w:tc>
        <w:tc>
          <w:tcPr>
            <w:tcW w:w="3105" w:type="dxa"/>
            <w:shd w:val="clear" w:color="auto" w:fill="auto"/>
            <w:vAlign w:val="center"/>
          </w:tcPr>
          <w:p w14:paraId="489026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FFT</w:t>
            </w:r>
          </w:p>
        </w:tc>
        <w:tc>
          <w:tcPr>
            <w:tcW w:w="4673" w:type="dxa"/>
            <w:shd w:val="clear" w:color="auto" w:fill="auto"/>
            <w:vAlign w:val="center"/>
          </w:tcPr>
          <w:p w14:paraId="177707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2K, 8K</w:t>
            </w:r>
          </w:p>
        </w:tc>
      </w:tr>
      <w:tr w14:paraId="382EB0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39AD143A">
            <w:pPr>
              <w:jc w:val="left"/>
              <w:rPr>
                <w:rFonts w:hint="eastAsia" w:ascii="宋体"/>
                <w:sz w:val="24"/>
                <w:szCs w:val="24"/>
              </w:rPr>
            </w:pPr>
          </w:p>
        </w:tc>
        <w:tc>
          <w:tcPr>
            <w:tcW w:w="3105" w:type="dxa"/>
            <w:shd w:val="clear" w:color="auto" w:fill="auto"/>
            <w:vAlign w:val="center"/>
          </w:tcPr>
          <w:p w14:paraId="4CAA2D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50" w:right="0"/>
              <w:jc w:val="left"/>
            </w:pPr>
            <w:r>
              <w:t>Bandwidth</w:t>
            </w:r>
          </w:p>
        </w:tc>
        <w:tc>
          <w:tcPr>
            <w:tcW w:w="4673" w:type="dxa"/>
            <w:shd w:val="clear" w:color="auto" w:fill="auto"/>
            <w:vAlign w:val="center"/>
          </w:tcPr>
          <w:p w14:paraId="194C5F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5M, 6M, 7M, 8M</w:t>
            </w:r>
          </w:p>
        </w:tc>
      </w:tr>
      <w:tr w14:paraId="439BCC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continue"/>
            <w:shd w:val="clear" w:color="auto" w:fill="auto"/>
            <w:vAlign w:val="center"/>
          </w:tcPr>
          <w:p w14:paraId="1A902FA0">
            <w:pPr>
              <w:jc w:val="left"/>
              <w:rPr>
                <w:rFonts w:hint="eastAsia" w:ascii="宋体"/>
                <w:sz w:val="24"/>
                <w:szCs w:val="24"/>
              </w:rPr>
            </w:pPr>
          </w:p>
        </w:tc>
        <w:tc>
          <w:tcPr>
            <w:tcW w:w="3105" w:type="dxa"/>
            <w:shd w:val="clear" w:color="auto" w:fill="auto"/>
            <w:vAlign w:val="center"/>
          </w:tcPr>
          <w:p w14:paraId="1BCAB5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50" w:right="0"/>
              <w:jc w:val="left"/>
            </w:pPr>
            <w:r>
              <w:t>Constellation</w:t>
            </w:r>
          </w:p>
        </w:tc>
        <w:tc>
          <w:tcPr>
            <w:tcW w:w="4673" w:type="dxa"/>
            <w:shd w:val="clear" w:color="auto" w:fill="auto"/>
            <w:vAlign w:val="center"/>
          </w:tcPr>
          <w:p w14:paraId="08F916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QPSK, 16QAM, 64QAM</w:t>
            </w:r>
          </w:p>
        </w:tc>
      </w:tr>
      <w:tr w14:paraId="68A3EF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7A9B8578">
            <w:pPr>
              <w:jc w:val="left"/>
              <w:rPr>
                <w:rFonts w:hint="eastAsia" w:ascii="宋体"/>
                <w:sz w:val="24"/>
                <w:szCs w:val="24"/>
              </w:rPr>
            </w:pPr>
          </w:p>
        </w:tc>
        <w:tc>
          <w:tcPr>
            <w:tcW w:w="3105" w:type="dxa"/>
            <w:shd w:val="clear" w:color="auto" w:fill="auto"/>
            <w:vAlign w:val="center"/>
          </w:tcPr>
          <w:p w14:paraId="666C72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w:t>
            </w:r>
          </w:p>
        </w:tc>
        <w:tc>
          <w:tcPr>
            <w:tcW w:w="4673" w:type="dxa"/>
            <w:shd w:val="clear" w:color="auto" w:fill="auto"/>
            <w:vAlign w:val="center"/>
          </w:tcPr>
          <w:p w14:paraId="5248BB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1/4, 1/8, 1/16, 1/32</w:t>
            </w:r>
          </w:p>
        </w:tc>
      </w:tr>
      <w:tr w14:paraId="757103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178DA60B">
            <w:pPr>
              <w:jc w:val="left"/>
              <w:rPr>
                <w:rFonts w:hint="eastAsia" w:ascii="宋体"/>
                <w:sz w:val="24"/>
                <w:szCs w:val="24"/>
              </w:rPr>
            </w:pPr>
          </w:p>
        </w:tc>
        <w:tc>
          <w:tcPr>
            <w:tcW w:w="3105" w:type="dxa"/>
            <w:shd w:val="clear" w:color="auto" w:fill="auto"/>
            <w:vAlign w:val="center"/>
          </w:tcPr>
          <w:p w14:paraId="0E13A8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673" w:type="dxa"/>
            <w:shd w:val="clear" w:color="auto" w:fill="auto"/>
            <w:vAlign w:val="center"/>
          </w:tcPr>
          <w:p w14:paraId="21A75C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1/2, 2/3, 3/4, 5/6, 7/8</w:t>
            </w:r>
          </w:p>
        </w:tc>
      </w:tr>
      <w:tr w14:paraId="71567A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restart"/>
            <w:shd w:val="clear" w:color="auto" w:fill="auto"/>
            <w:vAlign w:val="center"/>
          </w:tcPr>
          <w:p w14:paraId="416B20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RF output</w:t>
            </w:r>
          </w:p>
        </w:tc>
        <w:tc>
          <w:tcPr>
            <w:tcW w:w="3105" w:type="dxa"/>
            <w:shd w:val="clear" w:color="auto" w:fill="auto"/>
            <w:vAlign w:val="center"/>
          </w:tcPr>
          <w:p w14:paraId="467E85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w:t>
            </w:r>
          </w:p>
        </w:tc>
        <w:tc>
          <w:tcPr>
            <w:tcW w:w="4673" w:type="dxa"/>
            <w:shd w:val="clear" w:color="auto" w:fill="auto"/>
            <w:vAlign w:val="center"/>
          </w:tcPr>
          <w:p w14:paraId="5A8F70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N type, 50Ω impedance</w:t>
            </w:r>
          </w:p>
        </w:tc>
      </w:tr>
      <w:tr w14:paraId="2ED4E0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38F57C6B">
            <w:pPr>
              <w:jc w:val="left"/>
              <w:rPr>
                <w:rFonts w:hint="eastAsia" w:ascii="宋体"/>
                <w:sz w:val="24"/>
                <w:szCs w:val="24"/>
              </w:rPr>
            </w:pPr>
          </w:p>
        </w:tc>
        <w:tc>
          <w:tcPr>
            <w:tcW w:w="3105" w:type="dxa"/>
            <w:shd w:val="clear" w:color="auto" w:fill="auto"/>
            <w:vAlign w:val="center"/>
          </w:tcPr>
          <w:p w14:paraId="746BC1D7">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 </w:t>
            </w:r>
          </w:p>
        </w:tc>
        <w:tc>
          <w:tcPr>
            <w:tcW w:w="4673" w:type="dxa"/>
            <w:shd w:val="clear" w:color="auto" w:fill="auto"/>
            <w:vAlign w:val="center"/>
          </w:tcPr>
          <w:p w14:paraId="4BF1A1D2">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 </w:t>
            </w:r>
          </w:p>
        </w:tc>
      </w:tr>
      <w:tr w14:paraId="1F4283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continue"/>
            <w:shd w:val="clear" w:color="auto" w:fill="auto"/>
            <w:vAlign w:val="center"/>
          </w:tcPr>
          <w:p w14:paraId="49C074C6">
            <w:pPr>
              <w:jc w:val="left"/>
              <w:rPr>
                <w:rFonts w:hint="eastAsia" w:ascii="宋体"/>
                <w:sz w:val="24"/>
                <w:szCs w:val="24"/>
              </w:rPr>
            </w:pPr>
          </w:p>
        </w:tc>
        <w:tc>
          <w:tcPr>
            <w:tcW w:w="3105" w:type="dxa"/>
            <w:shd w:val="clear" w:color="auto" w:fill="auto"/>
            <w:vAlign w:val="center"/>
          </w:tcPr>
          <w:p w14:paraId="5860B8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range</w:t>
            </w:r>
          </w:p>
        </w:tc>
        <w:tc>
          <w:tcPr>
            <w:tcW w:w="4673" w:type="dxa"/>
            <w:shd w:val="clear" w:color="auto" w:fill="auto"/>
            <w:vAlign w:val="center"/>
          </w:tcPr>
          <w:p w14:paraId="0E9312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50~1000MHz，1hz step</w:t>
            </w:r>
          </w:p>
        </w:tc>
      </w:tr>
      <w:tr w14:paraId="6DF187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continue"/>
            <w:shd w:val="clear" w:color="auto" w:fill="auto"/>
            <w:vAlign w:val="center"/>
          </w:tcPr>
          <w:p w14:paraId="244FEA1A">
            <w:pPr>
              <w:jc w:val="left"/>
              <w:rPr>
                <w:rFonts w:hint="eastAsia" w:ascii="宋体"/>
                <w:sz w:val="24"/>
                <w:szCs w:val="24"/>
              </w:rPr>
            </w:pPr>
          </w:p>
        </w:tc>
        <w:tc>
          <w:tcPr>
            <w:tcW w:w="3105" w:type="dxa"/>
            <w:shd w:val="clear" w:color="auto" w:fill="auto"/>
            <w:vAlign w:val="center"/>
          </w:tcPr>
          <w:p w14:paraId="646C9B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4673" w:type="dxa"/>
            <w:shd w:val="clear" w:color="auto" w:fill="auto"/>
            <w:vAlign w:val="center"/>
          </w:tcPr>
          <w:p w14:paraId="35D722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-15dbm~+5dbm, 0.1db step</w:t>
            </w:r>
          </w:p>
        </w:tc>
      </w:tr>
      <w:tr w14:paraId="2E650C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continue"/>
            <w:shd w:val="clear" w:color="auto" w:fill="auto"/>
            <w:vAlign w:val="center"/>
          </w:tcPr>
          <w:p w14:paraId="6255ED62">
            <w:pPr>
              <w:jc w:val="left"/>
              <w:rPr>
                <w:rFonts w:hint="eastAsia" w:ascii="宋体"/>
                <w:sz w:val="24"/>
                <w:szCs w:val="24"/>
              </w:rPr>
            </w:pPr>
          </w:p>
        </w:tc>
        <w:tc>
          <w:tcPr>
            <w:tcW w:w="3105" w:type="dxa"/>
            <w:shd w:val="clear" w:color="auto" w:fill="auto"/>
            <w:vAlign w:val="center"/>
          </w:tcPr>
          <w:p w14:paraId="4667B2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level offset</w:t>
            </w:r>
          </w:p>
        </w:tc>
        <w:tc>
          <w:tcPr>
            <w:tcW w:w="4673" w:type="dxa"/>
            <w:shd w:val="clear" w:color="auto" w:fill="auto"/>
            <w:vAlign w:val="center"/>
          </w:tcPr>
          <w:p w14:paraId="6957DE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-3dbm~+3dbm, 0.1db step</w:t>
            </w:r>
          </w:p>
        </w:tc>
      </w:tr>
      <w:tr w14:paraId="6A5838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continue"/>
            <w:shd w:val="clear" w:color="auto" w:fill="auto"/>
            <w:vAlign w:val="center"/>
          </w:tcPr>
          <w:p w14:paraId="4F60522C">
            <w:pPr>
              <w:jc w:val="left"/>
              <w:rPr>
                <w:rFonts w:hint="eastAsia" w:ascii="宋体"/>
                <w:sz w:val="24"/>
                <w:szCs w:val="24"/>
              </w:rPr>
            </w:pPr>
          </w:p>
        </w:tc>
        <w:tc>
          <w:tcPr>
            <w:tcW w:w="3105" w:type="dxa"/>
            <w:shd w:val="clear" w:color="auto" w:fill="auto"/>
            <w:vAlign w:val="center"/>
          </w:tcPr>
          <w:p w14:paraId="175BCA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4673" w:type="dxa"/>
            <w:shd w:val="clear" w:color="auto" w:fill="auto"/>
            <w:vAlign w:val="center"/>
          </w:tcPr>
          <w:p w14:paraId="0CF554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 42db</w:t>
            </w:r>
          </w:p>
        </w:tc>
      </w:tr>
      <w:tr w14:paraId="067138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05" w:hRule="atLeast"/>
          <w:tblCellSpacing w:w="0" w:type="dxa"/>
        </w:trPr>
        <w:tc>
          <w:tcPr>
            <w:tcW w:w="1852" w:type="dxa"/>
            <w:shd w:val="clear" w:color="auto" w:fill="auto"/>
            <w:vAlign w:val="center"/>
          </w:tcPr>
          <w:p w14:paraId="5D4AFF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ASI output</w:t>
            </w:r>
          </w:p>
        </w:tc>
        <w:tc>
          <w:tcPr>
            <w:tcW w:w="7808" w:type="dxa"/>
            <w:gridSpan w:val="2"/>
            <w:shd w:val="clear" w:color="auto" w:fill="auto"/>
            <w:vAlign w:val="center"/>
          </w:tcPr>
          <w:p w14:paraId="7741FB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ports output for the passthrough of the input ASI Signal, both ASI out are the same</w:t>
            </w:r>
          </w:p>
        </w:tc>
      </w:tr>
      <w:tr w14:paraId="7384BA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852" w:type="dxa"/>
            <w:shd w:val="clear" w:color="auto" w:fill="auto"/>
            <w:vAlign w:val="center"/>
          </w:tcPr>
          <w:p w14:paraId="481C3E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Non-linear DPD</w:t>
            </w:r>
          </w:p>
        </w:tc>
        <w:tc>
          <w:tcPr>
            <w:tcW w:w="7808" w:type="dxa"/>
            <w:gridSpan w:val="2"/>
            <w:shd w:val="clear" w:color="auto" w:fill="auto"/>
            <w:vAlign w:val="center"/>
          </w:tcPr>
          <w:p w14:paraId="31CA7E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over 10db ACPR improvement (normally)</w:t>
            </w:r>
          </w:p>
        </w:tc>
      </w:tr>
      <w:tr w14:paraId="402D30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restart"/>
            <w:shd w:val="clear" w:color="auto" w:fill="auto"/>
            <w:vAlign w:val="center"/>
          </w:tcPr>
          <w:p w14:paraId="2127A1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w:t>
            </w:r>
          </w:p>
        </w:tc>
        <w:tc>
          <w:tcPr>
            <w:tcW w:w="7808" w:type="dxa"/>
            <w:gridSpan w:val="2"/>
            <w:shd w:val="clear" w:color="auto" w:fill="auto"/>
            <w:vAlign w:val="center"/>
          </w:tcPr>
          <w:p w14:paraId="0465BD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LCD display &amp; keyboard operation, web management</w:t>
            </w:r>
          </w:p>
        </w:tc>
      </w:tr>
      <w:tr w14:paraId="5458C4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1DB2CD6A">
            <w:pPr>
              <w:jc w:val="left"/>
              <w:rPr>
                <w:rFonts w:hint="eastAsia" w:ascii="宋体"/>
                <w:sz w:val="24"/>
                <w:szCs w:val="24"/>
              </w:rPr>
            </w:pPr>
          </w:p>
        </w:tc>
        <w:tc>
          <w:tcPr>
            <w:tcW w:w="7808" w:type="dxa"/>
            <w:gridSpan w:val="2"/>
            <w:shd w:val="clear" w:color="auto" w:fill="auto"/>
            <w:vAlign w:val="center"/>
          </w:tcPr>
          <w:p w14:paraId="4F0795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Software upgrading through NMS port</w:t>
            </w:r>
          </w:p>
        </w:tc>
      </w:tr>
      <w:tr w14:paraId="685E19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restart"/>
            <w:shd w:val="clear" w:color="auto" w:fill="auto"/>
            <w:vAlign w:val="center"/>
          </w:tcPr>
          <w:p w14:paraId="31A492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w:t>
            </w:r>
          </w:p>
        </w:tc>
        <w:tc>
          <w:tcPr>
            <w:tcW w:w="3105" w:type="dxa"/>
            <w:shd w:val="clear" w:color="auto" w:fill="auto"/>
            <w:vAlign w:val="center"/>
          </w:tcPr>
          <w:p w14:paraId="4BE947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Demission (W*L*H)</w:t>
            </w:r>
          </w:p>
        </w:tc>
        <w:tc>
          <w:tcPr>
            <w:tcW w:w="4673" w:type="dxa"/>
            <w:shd w:val="clear" w:color="auto" w:fill="auto"/>
            <w:vAlign w:val="center"/>
          </w:tcPr>
          <w:p w14:paraId="359153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440mm×414mm×44.5mm</w:t>
            </w:r>
          </w:p>
        </w:tc>
      </w:tr>
      <w:tr w14:paraId="586A93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65" w:hRule="atLeast"/>
          <w:tblCellSpacing w:w="0" w:type="dxa"/>
        </w:trPr>
        <w:tc>
          <w:tcPr>
            <w:tcW w:w="1852" w:type="dxa"/>
            <w:vMerge w:val="continue"/>
            <w:shd w:val="clear" w:color="auto" w:fill="auto"/>
            <w:vAlign w:val="center"/>
          </w:tcPr>
          <w:p w14:paraId="22735B3D">
            <w:pPr>
              <w:jc w:val="left"/>
              <w:rPr>
                <w:rFonts w:hint="eastAsia" w:ascii="宋体"/>
                <w:sz w:val="24"/>
                <w:szCs w:val="24"/>
              </w:rPr>
            </w:pPr>
          </w:p>
        </w:tc>
        <w:tc>
          <w:tcPr>
            <w:tcW w:w="3105" w:type="dxa"/>
            <w:shd w:val="clear" w:color="auto" w:fill="auto"/>
            <w:vAlign w:val="center"/>
          </w:tcPr>
          <w:p w14:paraId="028949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Weight</w:t>
            </w:r>
          </w:p>
        </w:tc>
        <w:tc>
          <w:tcPr>
            <w:tcW w:w="4673" w:type="dxa"/>
            <w:shd w:val="clear" w:color="auto" w:fill="auto"/>
            <w:vAlign w:val="center"/>
          </w:tcPr>
          <w:p w14:paraId="3A0267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4.9kg</w:t>
            </w:r>
          </w:p>
        </w:tc>
      </w:tr>
      <w:tr w14:paraId="3DD87C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11A9E9B4">
            <w:pPr>
              <w:jc w:val="left"/>
              <w:rPr>
                <w:rFonts w:hint="eastAsia" w:ascii="宋体"/>
                <w:sz w:val="24"/>
                <w:szCs w:val="24"/>
              </w:rPr>
            </w:pPr>
          </w:p>
        </w:tc>
        <w:tc>
          <w:tcPr>
            <w:tcW w:w="3105" w:type="dxa"/>
            <w:shd w:val="clear" w:color="auto" w:fill="auto"/>
            <w:vAlign w:val="center"/>
          </w:tcPr>
          <w:p w14:paraId="65F2A7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Temperature</w:t>
            </w:r>
          </w:p>
        </w:tc>
        <w:tc>
          <w:tcPr>
            <w:tcW w:w="4673" w:type="dxa"/>
            <w:shd w:val="clear" w:color="auto" w:fill="auto"/>
            <w:vAlign w:val="center"/>
          </w:tcPr>
          <w:p w14:paraId="2445AC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0~45℃(operation), -20~80℃(storage)</w:t>
            </w:r>
          </w:p>
        </w:tc>
      </w:tr>
      <w:tr w14:paraId="7FCB26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852" w:type="dxa"/>
            <w:vMerge w:val="continue"/>
            <w:shd w:val="clear" w:color="auto" w:fill="auto"/>
            <w:vAlign w:val="center"/>
          </w:tcPr>
          <w:p w14:paraId="2DBBFB94">
            <w:pPr>
              <w:jc w:val="left"/>
              <w:rPr>
                <w:rFonts w:hint="eastAsia" w:ascii="宋体"/>
                <w:sz w:val="24"/>
                <w:szCs w:val="24"/>
              </w:rPr>
            </w:pPr>
          </w:p>
        </w:tc>
        <w:tc>
          <w:tcPr>
            <w:tcW w:w="3105" w:type="dxa"/>
            <w:shd w:val="clear" w:color="auto" w:fill="auto"/>
            <w:vAlign w:val="center"/>
          </w:tcPr>
          <w:p w14:paraId="5C1C9B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Power Supply</w:t>
            </w:r>
          </w:p>
        </w:tc>
        <w:tc>
          <w:tcPr>
            <w:tcW w:w="4673" w:type="dxa"/>
            <w:shd w:val="clear" w:color="auto" w:fill="auto"/>
            <w:vAlign w:val="center"/>
          </w:tcPr>
          <w:p w14:paraId="01720C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AC 110V±10%, 50/60Hz or AC 220V±10%, 50/60Hz</w:t>
            </w:r>
          </w:p>
        </w:tc>
      </w:tr>
      <w:tr w14:paraId="25606E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52" w:type="dxa"/>
            <w:vMerge w:val="continue"/>
            <w:shd w:val="clear" w:color="auto" w:fill="auto"/>
            <w:vAlign w:val="center"/>
          </w:tcPr>
          <w:p w14:paraId="03FA42AB">
            <w:pPr>
              <w:jc w:val="left"/>
              <w:rPr>
                <w:rFonts w:hint="eastAsia" w:ascii="宋体"/>
                <w:sz w:val="24"/>
                <w:szCs w:val="24"/>
              </w:rPr>
            </w:pPr>
          </w:p>
        </w:tc>
        <w:tc>
          <w:tcPr>
            <w:tcW w:w="3105" w:type="dxa"/>
            <w:shd w:val="clear" w:color="auto" w:fill="auto"/>
            <w:vAlign w:val="center"/>
          </w:tcPr>
          <w:p w14:paraId="4E0135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Power Consumption</w:t>
            </w:r>
          </w:p>
        </w:tc>
        <w:tc>
          <w:tcPr>
            <w:tcW w:w="4673" w:type="dxa"/>
            <w:shd w:val="clear" w:color="auto" w:fill="auto"/>
            <w:vAlign w:val="center"/>
          </w:tcPr>
          <w:p w14:paraId="2D163B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05" w:right="0"/>
              <w:jc w:val="left"/>
            </w:pPr>
            <w:r>
              <w:t>To be tested</w:t>
            </w:r>
          </w:p>
        </w:tc>
      </w:tr>
    </w:tbl>
    <w:p w14:paraId="463368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84" w:right="0"/>
        <w:jc w:val="left"/>
      </w:pPr>
      <w:r>
        <w:rPr>
          <w:rFonts w:hint="default" w:ascii="Verdana" w:hAnsi="Verdana" w:cs="Verdana"/>
          <w:i w:val="0"/>
          <w:iCs w:val="0"/>
          <w:caps w:val="0"/>
          <w:color w:val="333333"/>
          <w:spacing w:val="0"/>
          <w:sz w:val="18"/>
          <w:szCs w:val="18"/>
          <w:shd w:val="clear" w:fill="FEFCFD"/>
        </w:rPr>
        <w:t> </w:t>
      </w:r>
    </w:p>
    <w:p w14:paraId="3BB2F5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84" w:right="0"/>
        <w:jc w:val="left"/>
      </w:pPr>
      <w:r>
        <w:rPr>
          <w:rFonts w:hint="default" w:ascii="Verdana" w:hAnsi="Verdana" w:cs="Verdana"/>
          <w:i w:val="0"/>
          <w:iCs w:val="0"/>
          <w:caps w:val="0"/>
          <w:color w:val="333333"/>
          <w:spacing w:val="0"/>
          <w:sz w:val="18"/>
          <w:szCs w:val="18"/>
          <w:shd w:val="clear" w:fill="FEFCFD"/>
        </w:rPr>
        <w:t> </w:t>
      </w:r>
      <w:r>
        <w:rPr>
          <w:rStyle w:val="10"/>
          <w:rFonts w:hint="default" w:ascii="Verdana" w:hAnsi="Verdana" w:cs="Verdana"/>
          <w:i w:val="0"/>
          <w:iCs w:val="0"/>
          <w:caps w:val="0"/>
          <w:color w:val="333333"/>
          <w:spacing w:val="0"/>
          <w:sz w:val="18"/>
          <w:szCs w:val="18"/>
          <w:shd w:val="clear" w:fill="FEFCFD"/>
        </w:rPr>
        <w:t>Principle Chart</w:t>
      </w:r>
    </w:p>
    <w:p w14:paraId="434C89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284" w:right="0"/>
        <w:jc w:val="left"/>
      </w:pPr>
      <w:r>
        <w:rPr>
          <w:rFonts w:hint="default" w:ascii="Verdana" w:hAnsi="Verdana" w:cs="Verdana"/>
          <w:i w:val="0"/>
          <w:iCs w:val="0"/>
          <w:caps w:val="0"/>
          <w:color w:val="333333"/>
          <w:spacing w:val="0"/>
          <w:sz w:val="18"/>
          <w:szCs w:val="18"/>
          <w:shd w:val="clear" w:fill="FEFCFD"/>
        </w:rPr>
        <w:t> </w:t>
      </w:r>
    </w:p>
    <w:p w14:paraId="6251EF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6805" cy="2715260"/>
            <wp:effectExtent l="0" t="0" r="4445" b="889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6805" cy="2715260"/>
                    </a:xfrm>
                    <a:prstGeom prst="rect">
                      <a:avLst/>
                    </a:prstGeom>
                    <a:noFill/>
                    <a:ln w="9525">
                      <a:noFill/>
                    </a:ln>
                  </pic:spPr>
                </pic:pic>
              </a:graphicData>
            </a:graphic>
          </wp:inline>
        </w:drawing>
      </w:r>
    </w:p>
    <w:p w14:paraId="04F55D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A33601E">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091CCB48">
      <w:pPr>
        <w:rPr>
          <w:rFonts w:hint="default" w:ascii="Verdana" w:hAnsi="Verdana" w:cs="Verdana"/>
          <w:b w:val="0"/>
          <w:i w:val="0"/>
          <w:strike w:val="0"/>
          <w:color w:val="000000"/>
          <w:sz w:val="28"/>
          <w:lang w:val="en-US" w:eastAsia="zh-CN"/>
        </w:rPr>
      </w:pPr>
    </w:p>
    <w:p w14:paraId="1ABE1C04">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5245E3D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3E8B1F8">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02049FA6">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50F42B1"/>
    <w:rsid w:val="0A680B1B"/>
    <w:rsid w:val="0E570D90"/>
    <w:rsid w:val="0E714EC9"/>
    <w:rsid w:val="0FAC69DF"/>
    <w:rsid w:val="0FC87CEA"/>
    <w:rsid w:val="101C4557"/>
    <w:rsid w:val="112F20CA"/>
    <w:rsid w:val="154F4AB2"/>
    <w:rsid w:val="15C25510"/>
    <w:rsid w:val="177A552B"/>
    <w:rsid w:val="18AE427D"/>
    <w:rsid w:val="18E81EA3"/>
    <w:rsid w:val="1B974A15"/>
    <w:rsid w:val="1CDC4CA0"/>
    <w:rsid w:val="1FCC39C5"/>
    <w:rsid w:val="20F61905"/>
    <w:rsid w:val="2199682E"/>
    <w:rsid w:val="22420E6B"/>
    <w:rsid w:val="231365EA"/>
    <w:rsid w:val="239E3C7B"/>
    <w:rsid w:val="27B55639"/>
    <w:rsid w:val="2A752F8B"/>
    <w:rsid w:val="2C665CEA"/>
    <w:rsid w:val="2D84657F"/>
    <w:rsid w:val="2E0F6BE8"/>
    <w:rsid w:val="314F3E41"/>
    <w:rsid w:val="3B533162"/>
    <w:rsid w:val="45872050"/>
    <w:rsid w:val="478E224E"/>
    <w:rsid w:val="485E04E5"/>
    <w:rsid w:val="487316FE"/>
    <w:rsid w:val="49B75FAC"/>
    <w:rsid w:val="49DB2978"/>
    <w:rsid w:val="4E4A4BF6"/>
    <w:rsid w:val="4F8D25ED"/>
    <w:rsid w:val="51AD130D"/>
    <w:rsid w:val="540A3FAB"/>
    <w:rsid w:val="55DC5C17"/>
    <w:rsid w:val="562E484B"/>
    <w:rsid w:val="56834992"/>
    <w:rsid w:val="5930748A"/>
    <w:rsid w:val="59933671"/>
    <w:rsid w:val="5A49535D"/>
    <w:rsid w:val="5AA83521"/>
    <w:rsid w:val="5EEA5249"/>
    <w:rsid w:val="609213A6"/>
    <w:rsid w:val="61BA6334"/>
    <w:rsid w:val="63C27F07"/>
    <w:rsid w:val="6421044F"/>
    <w:rsid w:val="68AD6386"/>
    <w:rsid w:val="6D7A6503"/>
    <w:rsid w:val="70757613"/>
    <w:rsid w:val="70B756B4"/>
    <w:rsid w:val="712617E3"/>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odulator/NDS2401G%20DVB-T%20Modulator/3EEECN_20210416092005.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178</Words>
  <Characters>1015</Characters>
  <Lines>4</Lines>
  <Paragraphs>1</Paragraphs>
  <TotalTime>27</TotalTime>
  <ScaleCrop>false</ScaleCrop>
  <LinksUpToDate>false</LinksUpToDate>
  <CharactersWithSpaces>1176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2025-08-20T06:50:00Z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