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130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default" w:ascii="Verdana" w:hAnsi="Verdana" w:cs="Verdana"/>
          <w:b w:val="0"/>
          <w:i w:val="0"/>
          <w:strike w:val="0"/>
          <w:color w:val="000000"/>
          <w:sz w:val="28"/>
          <w:lang w:val="en-US" w:eastAsia="zh-CN"/>
        </w:rPr>
      </w:pPr>
      <w:r>
        <w:rPr>
          <w:rFonts w:hint="eastAsia" w:ascii="Verdana" w:hAnsi="Verdana" w:cs="Verdana"/>
          <w:b/>
          <w:i w:val="0"/>
          <w:strike w:val="0"/>
          <w:color w:val="000000"/>
          <w:sz w:val="22"/>
          <w:lang w:val="en-US" w:eastAsia="zh-CN"/>
        </w:rPr>
        <w:t>FUQ-3515 ASI TS Switcher 3 ASI Inputs 2 ASI Outputs 188 TS Packet Format BNC Interface Auto-Failback Manual Switching Broadcast Headend Redundancy Solution</w:t>
      </w: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90520065945"/>
            <wp:cNvGraphicFramePr/>
            <a:graphic xmlns:a="http://schemas.openxmlformats.org/drawingml/2006/main">
              <a:graphicData uri="http://schemas.openxmlformats.org/drawingml/2006/picture">
                <pic:pic xmlns:pic="http://schemas.openxmlformats.org/drawingml/2006/picture">
                  <pic:nvPicPr>
                    <pic:cNvPr id="1" name="图片 1" descr="3EEECN_20190520065945"/>
                    <pic:cNvPicPr/>
                  </pic:nvPicPr>
                  <pic:blipFill>
                    <a:blip r:embed="rId6"/>
                    <a:stretch>
                      <a:fillRect/>
                    </a:stretch>
                  </pic:blipFill>
                  <pic:spPr>
                    <a:xfrm>
                      <a:off x="0" y="0"/>
                      <a:ext cx="6181725" cy="3400425"/>
                    </a:xfrm>
                    <a:prstGeom prst="rect">
                      <a:avLst/>
                    </a:prstGeom>
                  </pic:spPr>
                </pic:pic>
              </a:graphicData>
            </a:graphic>
          </wp:inline>
        </w:drawing>
      </w:r>
      <w:bookmarkEnd w:id="0"/>
    </w:p>
    <w:p w14:paraId="69675F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ascii="Verdana" w:hAnsi="Verdana" w:cs="Verdana"/>
          <w:i w:val="0"/>
          <w:iCs w:val="0"/>
          <w:caps w:val="0"/>
          <w:color w:val="333333"/>
          <w:spacing w:val="0"/>
          <w:sz w:val="18"/>
          <w:szCs w:val="18"/>
          <w:shd w:val="clear" w:fill="FEFCFD"/>
        </w:rPr>
        <w:t>Product Overview</w:t>
      </w:r>
    </w:p>
    <w:p w14:paraId="3A4508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eastAsia" w:ascii="Verdana" w:hAnsi="Verdana" w:cs="Verdana"/>
          <w:i w:val="0"/>
          <w:iCs w:val="0"/>
          <w:caps w:val="0"/>
          <w:color w:val="333333"/>
          <w:spacing w:val="0"/>
          <w:sz w:val="18"/>
          <w:szCs w:val="18"/>
          <w:shd w:val="clear" w:fill="FEFCFD"/>
          <w:lang w:eastAsia="zh-CN"/>
        </w:rPr>
        <w:t>The FUQ-3515 ASI TS Switcher provides 1 main + 2 backup ASI inputs and 2 independent ASI outputs for transport stream redundancy. It performs automatic failback switching based on TS packet integrity monitoring (bitrate/sync/continuity). This 1RU rack-mount unit supports web-based control and firmware upgrades. Ideal for broadcast headend redundancy and cable TV signal backup systems.</w:t>
      </w:r>
      <w:r>
        <w:rPr>
          <w:rFonts w:hint="default" w:ascii="Verdana" w:hAnsi="Verdana" w:cs="Verdana"/>
          <w:i w:val="0"/>
          <w:iCs w:val="0"/>
          <w:caps w:val="0"/>
          <w:color w:val="333333"/>
          <w:spacing w:val="0"/>
          <w:sz w:val="18"/>
          <w:szCs w:val="18"/>
          <w:shd w:val="clear" w:fill="FEFCFD"/>
        </w:rPr>
        <w:t> </w:t>
      </w:r>
    </w:p>
    <w:p w14:paraId="09F09D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00AB83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WEB-based management: Remote control via HTTP/HTTPS with upgrade support </w:t>
      </w:r>
    </w:p>
    <w:p w14:paraId="22DE9B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Specifications</w:t>
      </w:r>
    </w:p>
    <w:tbl>
      <w:tblPr>
        <w:tblStyle w:val="7"/>
        <w:tblW w:w="936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265"/>
        <w:gridCol w:w="1980"/>
        <w:gridCol w:w="5115"/>
      </w:tblGrid>
      <w:tr w14:paraId="2D15CA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2265" w:type="dxa"/>
            <w:shd w:val="clear" w:color="auto" w:fill="auto"/>
            <w:vAlign w:val="center"/>
          </w:tcPr>
          <w:p w14:paraId="7E4816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095" w:type="dxa"/>
            <w:gridSpan w:val="2"/>
            <w:shd w:val="clear" w:color="auto" w:fill="auto"/>
            <w:vAlign w:val="center"/>
          </w:tcPr>
          <w:p w14:paraId="6E1A0A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 ASI input: ASI 3 is main stream, ASI 2 is secondary stream (backup 1), ASI 1 is third stream (back up 2)</w:t>
            </w:r>
          </w:p>
        </w:tc>
      </w:tr>
      <w:tr w14:paraId="46C3A9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2265" w:type="dxa"/>
            <w:shd w:val="clear" w:color="auto" w:fill="auto"/>
            <w:vAlign w:val="center"/>
          </w:tcPr>
          <w:p w14:paraId="6EA54E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Output</w:t>
            </w:r>
          </w:p>
        </w:tc>
        <w:tc>
          <w:tcPr>
            <w:tcW w:w="7095" w:type="dxa"/>
            <w:gridSpan w:val="2"/>
            <w:shd w:val="clear" w:color="auto" w:fill="auto"/>
            <w:vAlign w:val="center"/>
          </w:tcPr>
          <w:p w14:paraId="05ED56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output: ASI 4 output bypass, ASI 5 loop out ASI 3</w:t>
            </w:r>
          </w:p>
        </w:tc>
      </w:tr>
      <w:tr w14:paraId="72A71D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265" w:type="dxa"/>
            <w:shd w:val="clear" w:color="auto" w:fill="auto"/>
            <w:vAlign w:val="center"/>
          </w:tcPr>
          <w:p w14:paraId="0DB478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Interface</w:t>
            </w:r>
          </w:p>
        </w:tc>
        <w:tc>
          <w:tcPr>
            <w:tcW w:w="7095" w:type="dxa"/>
            <w:gridSpan w:val="2"/>
            <w:shd w:val="clear" w:color="auto" w:fill="auto"/>
            <w:vAlign w:val="center"/>
          </w:tcPr>
          <w:p w14:paraId="725EC8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BNC interface</w:t>
            </w:r>
          </w:p>
        </w:tc>
      </w:tr>
      <w:tr w14:paraId="2B5C5B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2265" w:type="dxa"/>
            <w:shd w:val="clear" w:color="auto" w:fill="auto"/>
            <w:vAlign w:val="center"/>
          </w:tcPr>
          <w:p w14:paraId="07F109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TS Package Format</w:t>
            </w:r>
          </w:p>
        </w:tc>
        <w:tc>
          <w:tcPr>
            <w:tcW w:w="7095" w:type="dxa"/>
            <w:gridSpan w:val="2"/>
            <w:shd w:val="clear" w:color="auto" w:fill="auto"/>
            <w:vAlign w:val="center"/>
          </w:tcPr>
          <w:p w14:paraId="41C993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188</w:t>
            </w:r>
          </w:p>
        </w:tc>
      </w:tr>
      <w:tr w14:paraId="1788BB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2265" w:type="dxa"/>
            <w:shd w:val="clear" w:color="auto" w:fill="auto"/>
            <w:vAlign w:val="center"/>
          </w:tcPr>
          <w:p w14:paraId="769F3A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ASI in/out bitrate</w:t>
            </w:r>
          </w:p>
        </w:tc>
        <w:tc>
          <w:tcPr>
            <w:tcW w:w="7095" w:type="dxa"/>
            <w:gridSpan w:val="2"/>
            <w:shd w:val="clear" w:color="auto" w:fill="auto"/>
            <w:vAlign w:val="center"/>
          </w:tcPr>
          <w:p w14:paraId="3572A0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1~210Mbps</w:t>
            </w:r>
          </w:p>
        </w:tc>
      </w:tr>
      <w:tr w14:paraId="308F20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265" w:type="dxa"/>
            <w:vMerge w:val="restart"/>
            <w:shd w:val="clear" w:color="auto" w:fill="auto"/>
            <w:vAlign w:val="center"/>
          </w:tcPr>
          <w:p w14:paraId="6ACDD4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1980" w:type="dxa"/>
            <w:shd w:val="clear" w:color="auto" w:fill="auto"/>
            <w:vAlign w:val="center"/>
          </w:tcPr>
          <w:p w14:paraId="1C8CC8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w:t>
            </w:r>
          </w:p>
        </w:tc>
        <w:tc>
          <w:tcPr>
            <w:tcW w:w="5100" w:type="dxa"/>
            <w:shd w:val="clear" w:color="auto" w:fill="auto"/>
            <w:vAlign w:val="center"/>
          </w:tcPr>
          <w:p w14:paraId="157A3F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English/Chinese</w:t>
            </w:r>
          </w:p>
        </w:tc>
      </w:tr>
      <w:tr w14:paraId="582771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2265" w:type="dxa"/>
            <w:vMerge w:val="continue"/>
            <w:shd w:val="clear" w:color="auto" w:fill="auto"/>
            <w:vAlign w:val="center"/>
          </w:tcPr>
          <w:p w14:paraId="4BFDDE0F">
            <w:pPr>
              <w:jc w:val="left"/>
              <w:rPr>
                <w:rFonts w:hint="eastAsia" w:ascii="宋体"/>
                <w:sz w:val="24"/>
                <w:szCs w:val="24"/>
              </w:rPr>
            </w:pPr>
          </w:p>
        </w:tc>
        <w:tc>
          <w:tcPr>
            <w:tcW w:w="1980" w:type="dxa"/>
            <w:shd w:val="clear" w:color="auto" w:fill="auto"/>
            <w:vAlign w:val="center"/>
          </w:tcPr>
          <w:p w14:paraId="70227C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Remote Control</w:t>
            </w:r>
          </w:p>
        </w:tc>
        <w:tc>
          <w:tcPr>
            <w:tcW w:w="5100" w:type="dxa"/>
            <w:shd w:val="clear" w:color="auto" w:fill="auto"/>
            <w:vAlign w:val="center"/>
          </w:tcPr>
          <w:p w14:paraId="613D1A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web-server management (WEB)</w:t>
            </w:r>
          </w:p>
        </w:tc>
      </w:tr>
      <w:tr w14:paraId="7A6120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2265" w:type="dxa"/>
            <w:vMerge w:val="continue"/>
            <w:shd w:val="clear" w:color="auto" w:fill="auto"/>
            <w:vAlign w:val="center"/>
          </w:tcPr>
          <w:p w14:paraId="3FE9B18D">
            <w:pPr>
              <w:jc w:val="left"/>
              <w:rPr>
                <w:rFonts w:hint="eastAsia" w:ascii="宋体"/>
                <w:sz w:val="24"/>
                <w:szCs w:val="24"/>
              </w:rPr>
            </w:pPr>
          </w:p>
        </w:tc>
        <w:tc>
          <w:tcPr>
            <w:tcW w:w="1980" w:type="dxa"/>
            <w:shd w:val="clear" w:color="auto" w:fill="auto"/>
            <w:vAlign w:val="center"/>
          </w:tcPr>
          <w:p w14:paraId="6E01A5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Upgrade</w:t>
            </w:r>
          </w:p>
        </w:tc>
        <w:tc>
          <w:tcPr>
            <w:tcW w:w="5100" w:type="dxa"/>
            <w:shd w:val="clear" w:color="auto" w:fill="auto"/>
            <w:vAlign w:val="center"/>
          </w:tcPr>
          <w:p w14:paraId="18BFAD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upgrade</w:t>
            </w:r>
          </w:p>
        </w:tc>
      </w:tr>
      <w:tr w14:paraId="5970F5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2265" w:type="dxa"/>
            <w:vMerge w:val="restart"/>
            <w:shd w:val="clear" w:color="auto" w:fill="auto"/>
            <w:vAlign w:val="center"/>
          </w:tcPr>
          <w:p w14:paraId="2DDBC6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1980" w:type="dxa"/>
            <w:shd w:val="clear" w:color="auto" w:fill="auto"/>
            <w:vAlign w:val="center"/>
          </w:tcPr>
          <w:p w14:paraId="730391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Size</w:t>
            </w:r>
          </w:p>
        </w:tc>
        <w:tc>
          <w:tcPr>
            <w:tcW w:w="5100" w:type="dxa"/>
            <w:shd w:val="clear" w:color="auto" w:fill="auto"/>
            <w:vAlign w:val="center"/>
          </w:tcPr>
          <w:p w14:paraId="2EA936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482mmx410mmx44mm</w:t>
            </w:r>
          </w:p>
        </w:tc>
      </w:tr>
      <w:tr w14:paraId="71F28C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2265" w:type="dxa"/>
            <w:vMerge w:val="continue"/>
            <w:shd w:val="clear" w:color="auto" w:fill="auto"/>
            <w:vAlign w:val="center"/>
          </w:tcPr>
          <w:p w14:paraId="1FE7298C">
            <w:pPr>
              <w:jc w:val="left"/>
              <w:rPr>
                <w:rFonts w:hint="eastAsia" w:ascii="宋体"/>
                <w:sz w:val="24"/>
                <w:szCs w:val="24"/>
              </w:rPr>
            </w:pPr>
          </w:p>
        </w:tc>
        <w:tc>
          <w:tcPr>
            <w:tcW w:w="1980" w:type="dxa"/>
            <w:shd w:val="clear" w:color="auto" w:fill="auto"/>
            <w:vAlign w:val="center"/>
          </w:tcPr>
          <w:p w14:paraId="4A1537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Temprature</w:t>
            </w:r>
          </w:p>
        </w:tc>
        <w:tc>
          <w:tcPr>
            <w:tcW w:w="5100" w:type="dxa"/>
            <w:shd w:val="clear" w:color="auto" w:fill="auto"/>
            <w:vAlign w:val="center"/>
          </w:tcPr>
          <w:p w14:paraId="1CDD5A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 (working); -20~80 (Storage)</w:t>
            </w:r>
          </w:p>
        </w:tc>
      </w:tr>
      <w:tr w14:paraId="10F1FC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2265" w:type="dxa"/>
            <w:vMerge w:val="continue"/>
            <w:shd w:val="clear" w:color="auto" w:fill="auto"/>
            <w:vAlign w:val="center"/>
          </w:tcPr>
          <w:p w14:paraId="1833868B">
            <w:pPr>
              <w:jc w:val="left"/>
              <w:rPr>
                <w:rFonts w:hint="eastAsia" w:ascii="宋体"/>
                <w:sz w:val="24"/>
                <w:szCs w:val="24"/>
              </w:rPr>
            </w:pPr>
          </w:p>
        </w:tc>
        <w:tc>
          <w:tcPr>
            <w:tcW w:w="1980" w:type="dxa"/>
            <w:shd w:val="clear" w:color="auto" w:fill="auto"/>
            <w:vAlign w:val="center"/>
          </w:tcPr>
          <w:p w14:paraId="7E2931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5100" w:type="dxa"/>
            <w:shd w:val="clear" w:color="auto" w:fill="auto"/>
            <w:vAlign w:val="center"/>
          </w:tcPr>
          <w:p w14:paraId="6F0562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110VAC±10%, 50/60Hz</w:t>
            </w:r>
          </w:p>
          <w:p w14:paraId="66434C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220VAC±10%, 50/60Hz</w:t>
            </w:r>
          </w:p>
        </w:tc>
      </w:tr>
      <w:tr w14:paraId="434996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90" w:hRule="atLeast"/>
          <w:tblCellSpacing w:w="0" w:type="dxa"/>
        </w:trPr>
        <w:tc>
          <w:tcPr>
            <w:tcW w:w="2265" w:type="dxa"/>
            <w:vMerge w:val="continue"/>
            <w:shd w:val="clear" w:color="auto" w:fill="auto"/>
            <w:vAlign w:val="center"/>
          </w:tcPr>
          <w:p w14:paraId="55E5A551">
            <w:pPr>
              <w:jc w:val="left"/>
              <w:rPr>
                <w:rFonts w:hint="eastAsia" w:ascii="宋体"/>
                <w:sz w:val="24"/>
                <w:szCs w:val="24"/>
              </w:rPr>
            </w:pPr>
          </w:p>
        </w:tc>
        <w:tc>
          <w:tcPr>
            <w:tcW w:w="1980" w:type="dxa"/>
            <w:shd w:val="clear" w:color="auto" w:fill="auto"/>
            <w:vAlign w:val="center"/>
          </w:tcPr>
          <w:p w14:paraId="2A1668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5100" w:type="dxa"/>
            <w:shd w:val="clear" w:color="auto" w:fill="auto"/>
            <w:vAlign w:val="center"/>
          </w:tcPr>
          <w:p w14:paraId="4016EE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15W</w:t>
            </w:r>
          </w:p>
        </w:tc>
      </w:tr>
    </w:tbl>
    <w:p w14:paraId="3F13AF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4DCA6F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4" w:right="0"/>
      </w:pPr>
      <w:r>
        <w:rPr>
          <w:rFonts w:hint="default" w:ascii="Verdana" w:hAnsi="Verdana" w:cs="Verdana"/>
          <w:i w:val="0"/>
          <w:iCs w:val="0"/>
          <w:caps w:val="0"/>
          <w:color w:val="333333"/>
          <w:spacing w:val="0"/>
          <w:sz w:val="18"/>
          <w:szCs w:val="18"/>
          <w:shd w:val="clear" w:fill="FEFCFD"/>
        </w:rPr>
        <w:t> </w:t>
      </w:r>
    </w:p>
    <w:p w14:paraId="511D2A64">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2F2F4"/>
          <w:lang w:val="en-US" w:eastAsia="zh-CN" w:bidi="ar"/>
        </w:rPr>
        <w:t>ADD: No.10 and NO.12 Wuxing Fourth Road, Wuhou District, Chengdu, Sichuan, P.R.China </w:t>
      </w:r>
      <w:r>
        <w:rPr>
          <w:rFonts w:hint="default" w:ascii="Verdana" w:hAnsi="Verdana" w:eastAsia="宋体" w:cs="Verdana"/>
          <w:i w:val="0"/>
          <w:iCs w:val="0"/>
          <w:caps w:val="0"/>
          <w:color w:val="333333"/>
          <w:spacing w:val="0"/>
          <w:kern w:val="0"/>
          <w:sz w:val="18"/>
          <w:szCs w:val="18"/>
          <w:u w:val="none"/>
          <w:shd w:val="clear" w:fill="F2F2F4"/>
          <w:lang w:val="en-US" w:eastAsia="zh-CN" w:bidi="ar"/>
        </w:rPr>
        <w:fldChar w:fldCharType="begin"/>
      </w:r>
      <w:r>
        <w:rPr>
          <w:rFonts w:hint="default" w:ascii="Verdana" w:hAnsi="Verdana" w:eastAsia="宋体" w:cs="Verdana"/>
          <w:i w:val="0"/>
          <w:iCs w:val="0"/>
          <w:caps w:val="0"/>
          <w:color w:val="333333"/>
          <w:spacing w:val="0"/>
          <w:kern w:val="0"/>
          <w:sz w:val="18"/>
          <w:szCs w:val="18"/>
          <w:u w:val="none"/>
          <w:shd w:val="clear" w:fill="F2F2F4"/>
          <w:lang w:val="en-US" w:eastAsia="zh-CN" w:bidi="ar"/>
        </w:rPr>
        <w:instrText xml:space="preserve"> HYPERLINK "https://beian.miit.gov.cn/" \t "https://english.dsdvb.com/_blank" </w:instrText>
      </w:r>
      <w:r>
        <w:rPr>
          <w:rFonts w:hint="default" w:ascii="Verdana" w:hAnsi="Verdana" w:eastAsia="宋体" w:cs="Verdana"/>
          <w:i w:val="0"/>
          <w:iCs w:val="0"/>
          <w:caps w:val="0"/>
          <w:color w:val="333333"/>
          <w:spacing w:val="0"/>
          <w:kern w:val="0"/>
          <w:sz w:val="18"/>
          <w:szCs w:val="18"/>
          <w:u w:val="none"/>
          <w:shd w:val="clear" w:fill="F2F2F4"/>
          <w:lang w:val="en-US" w:eastAsia="zh-CN" w:bidi="ar"/>
        </w:rPr>
        <w:fldChar w:fldCharType="separate"/>
      </w:r>
      <w:r>
        <w:rPr>
          <w:rStyle w:val="12"/>
          <w:rFonts w:hint="default" w:ascii="Verdana" w:hAnsi="Verdana" w:eastAsia="宋体" w:cs="Verdana"/>
          <w:i w:val="0"/>
          <w:iCs w:val="0"/>
          <w:caps w:val="0"/>
          <w:color w:val="333333"/>
          <w:spacing w:val="0"/>
          <w:sz w:val="18"/>
          <w:szCs w:val="18"/>
          <w:u w:val="none"/>
          <w:shd w:val="clear" w:fill="F2F2F4"/>
        </w:rPr>
        <w:t>蜀ICP备17000710号-1</w:t>
      </w:r>
      <w:r>
        <w:rPr>
          <w:rFonts w:hint="default" w:ascii="Verdana" w:hAnsi="Verdana" w:eastAsia="宋体" w:cs="Verdana"/>
          <w:i w:val="0"/>
          <w:iCs w:val="0"/>
          <w:caps w:val="0"/>
          <w:color w:val="333333"/>
          <w:spacing w:val="0"/>
          <w:kern w:val="0"/>
          <w:sz w:val="18"/>
          <w:szCs w:val="18"/>
          <w:u w:val="none"/>
          <w:shd w:val="clear" w:fill="F2F2F4"/>
          <w:lang w:val="en-US" w:eastAsia="zh-CN" w:bidi="ar"/>
        </w:rPr>
        <w:fldChar w:fldCharType="end"/>
      </w:r>
    </w:p>
    <w:p w14:paraId="4C9E758A">
      <w:pPr>
        <w:rPr>
          <w:rFonts w:hint="default" w:ascii="Verdana" w:hAnsi="Verdana" w:cs="Verdana"/>
          <w:b w:val="0"/>
          <w:i w:val="0"/>
          <w:strike w:val="0"/>
          <w:color w:val="000000"/>
          <w:sz w:val="28"/>
          <w:lang w:val="en-US" w:eastAsia="zh-CN"/>
        </w:rPr>
      </w:pPr>
    </w:p>
    <w:p w14:paraId="65FC290A">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2DAE0D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EE07D20">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3E07DED">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3036BE2"/>
    <w:rsid w:val="15C25510"/>
    <w:rsid w:val="18AE427D"/>
    <w:rsid w:val="18E81EA3"/>
    <w:rsid w:val="1B974A15"/>
    <w:rsid w:val="1CDC4CA0"/>
    <w:rsid w:val="1FCC39C5"/>
    <w:rsid w:val="20F61905"/>
    <w:rsid w:val="2199682E"/>
    <w:rsid w:val="239E3C7B"/>
    <w:rsid w:val="27B55639"/>
    <w:rsid w:val="2A752F8B"/>
    <w:rsid w:val="2C665CEA"/>
    <w:rsid w:val="2E0F6BE8"/>
    <w:rsid w:val="2F621E87"/>
    <w:rsid w:val="2F916684"/>
    <w:rsid w:val="314F3E41"/>
    <w:rsid w:val="3A4A42C2"/>
    <w:rsid w:val="3B533162"/>
    <w:rsid w:val="404F2D06"/>
    <w:rsid w:val="45872050"/>
    <w:rsid w:val="45D4067D"/>
    <w:rsid w:val="478E224E"/>
    <w:rsid w:val="485E04E5"/>
    <w:rsid w:val="487316FE"/>
    <w:rsid w:val="49B75FAC"/>
    <w:rsid w:val="4E45029F"/>
    <w:rsid w:val="4E4A4BF6"/>
    <w:rsid w:val="4F8D25ED"/>
    <w:rsid w:val="51AD130D"/>
    <w:rsid w:val="540A3FAB"/>
    <w:rsid w:val="562E484B"/>
    <w:rsid w:val="56834992"/>
    <w:rsid w:val="576A58CB"/>
    <w:rsid w:val="5930748A"/>
    <w:rsid w:val="59933671"/>
    <w:rsid w:val="5AA83521"/>
    <w:rsid w:val="5EEA5249"/>
    <w:rsid w:val="5F7B0E0C"/>
    <w:rsid w:val="609213A6"/>
    <w:rsid w:val="61BA6334"/>
    <w:rsid w:val="63C27F07"/>
    <w:rsid w:val="68AD6386"/>
    <w:rsid w:val="6AE504C0"/>
    <w:rsid w:val="6D7A6503"/>
    <w:rsid w:val="70757613"/>
    <w:rsid w:val="70B756B4"/>
    <w:rsid w:val="72997F13"/>
    <w:rsid w:val="73270F88"/>
    <w:rsid w:val="74455F31"/>
    <w:rsid w:val="7540100C"/>
    <w:rsid w:val="77935A18"/>
    <w:rsid w:val="7A7D7FF1"/>
    <w:rsid w:val="7B8E7427"/>
    <w:rsid w:val="7E7B6968"/>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236</Words>
  <Characters>1391</Characters>
  <Lines>4</Lines>
  <Paragraphs>1</Paragraphs>
  <TotalTime>1</TotalTime>
  <ScaleCrop>false</ScaleCrop>
  <LinksUpToDate>false</LinksUpToDate>
  <CharactersWithSpaces>1605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2026-08-11T06:32:19Z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