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BF6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bookmarkStart w:id="0" w:name="_GoBack"/>
      <w:r>
        <w:rPr>
          <w:rFonts w:hint="eastAsia" w:ascii="Verdana" w:hAnsi="Verdana" w:cs="Verdana"/>
          <w:b/>
          <w:i w:val="0"/>
          <w:strike w:val="0"/>
          <w:color w:val="000000"/>
          <w:sz w:val="28"/>
          <w:lang w:val="en-US" w:eastAsia="zh-CN"/>
        </w:rPr>
        <w:t xml:space="preserve">FMUSER FUQ-3516R ISDB-T Modulator Dual ASI-Dual IP Inputs ARIB STD-B31 6MHz Bandwidth Network Control SFN-MFN Broadcasting STB Testing </w:t>
      </w:r>
      <w:bookmarkEnd w:id="0"/>
      <w:r>
        <w:rPr>
          <w:rFonts w:hint="default" w:ascii="Verdana" w:hAnsi="Verdana" w:cs="Verdana"/>
          <w:b w:val="0"/>
          <w:i w:val="0"/>
          <w:strike w:val="0"/>
          <w:color w:val="000000"/>
          <w:sz w:val="28"/>
          <w:lang w:val="en-US" w:eastAsia="zh-CN"/>
        </w:rPr>
        <w:drawing>
          <wp:inline distT="0" distB="0" distL="114300" distR="114300">
            <wp:extent cx="6172200" cy="3390900"/>
            <wp:effectExtent l="0" t="0" r="0" b="0"/>
            <wp:docPr id="1" name="图片 1" descr="3EEECN_20200928060507"/>
            <wp:cNvGraphicFramePr/>
            <a:graphic xmlns:a="http://schemas.openxmlformats.org/drawingml/2006/main">
              <a:graphicData uri="http://schemas.openxmlformats.org/drawingml/2006/picture">
                <pic:pic xmlns:pic="http://schemas.openxmlformats.org/drawingml/2006/picture">
                  <pic:nvPicPr>
                    <pic:cNvPr id="1" name="图片 1" descr="3EEECN_20200928060507"/>
                    <pic:cNvPicPr/>
                  </pic:nvPicPr>
                  <pic:blipFill>
                    <a:blip r:embed="rId6"/>
                    <a:stretch>
                      <a:fillRect/>
                    </a:stretch>
                  </pic:blipFill>
                  <pic:spPr>
                    <a:xfrm>
                      <a:off x="0" y="0"/>
                      <a:ext cx="6172200" cy="3390900"/>
                    </a:xfrm>
                    <a:prstGeom prst="rect">
                      <a:avLst/>
                    </a:prstGeom>
                  </pic:spPr>
                </pic:pic>
              </a:graphicData>
            </a:graphic>
          </wp:inline>
        </w:drawing>
      </w:r>
      <w:r>
        <w:rPr>
          <w:rFonts w:hint="eastAsia" w:ascii="Verdana" w:hAnsi="Verdana" w:cs="Verdana"/>
          <w:b/>
          <w:i w:val="0"/>
          <w:strike w:val="0"/>
          <w:color w:val="000000"/>
          <w:sz w:val="28"/>
          <w:lang w:val="en-US" w:eastAsia="zh-CN"/>
        </w:rPr>
        <w:t>Product overview</w:t>
      </w:r>
    </w:p>
    <w:p w14:paraId="0D4B33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The FMUSER FUQ-3516R ISDB-T Modulator delivers terrestrial digital television broadcasting, featuring dual ASI and dual IP inputs. It modulates signals compliant with ARIB STD-B31 standards, supporting single frequency network (SFN) and multi-frequency network (MFN). With network-based control via WEB interface, LCD, and keyboard, it enables easy management. Ideal for broadcasting network setup and set-top box testing in South American markets like Brazil and Argentina.</w:t>
      </w:r>
    </w:p>
    <w:p w14:paraId="4ADCC0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Style w:val="10"/>
          <w:rFonts w:hint="eastAsia" w:ascii="Verdana" w:hAnsi="Verdana" w:eastAsia="宋体" w:cs="Verdana"/>
          <w:i w:val="0"/>
          <w:iCs w:val="0"/>
          <w:caps w:val="0"/>
          <w:color w:val="333333"/>
          <w:spacing w:val="0"/>
          <w:sz w:val="24"/>
          <w:szCs w:val="24"/>
          <w:shd w:val="clear" w:fill="FEFCFD"/>
          <w:lang w:eastAsia="zh-CN"/>
        </w:rPr>
      </w:pPr>
      <w:r>
        <w:rPr>
          <w:rStyle w:val="10"/>
          <w:rFonts w:hint="eastAsia" w:ascii="Verdana" w:hAnsi="Verdana" w:eastAsia="宋体" w:cs="Verdana"/>
          <w:i w:val="0"/>
          <w:iCs w:val="0"/>
          <w:caps w:val="0"/>
          <w:color w:val="333333"/>
          <w:spacing w:val="0"/>
          <w:sz w:val="24"/>
          <w:szCs w:val="24"/>
          <w:shd w:val="clear" w:fill="FEFCFD"/>
          <w:lang w:eastAsia="zh-CN"/>
        </w:rPr>
        <w:t>Key feature</w:t>
      </w:r>
    </w:p>
    <w:p w14:paraId="090219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Enables network control via WEB, LCD, and keyboard for easy upgrades.</w:t>
      </w:r>
    </w:p>
    <w:p w14:paraId="511E49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19A05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4"/>
          <w:szCs w:val="24"/>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026"/>
        <w:gridCol w:w="2834"/>
        <w:gridCol w:w="141"/>
        <w:gridCol w:w="4749"/>
      </w:tblGrid>
      <w:tr w14:paraId="1A7DD0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07" w:type="dxa"/>
            <w:vMerge w:val="restart"/>
            <w:shd w:val="clear" w:color="auto" w:fill="auto"/>
            <w:vAlign w:val="center"/>
          </w:tcPr>
          <w:p w14:paraId="5FE621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Input</w:t>
            </w:r>
          </w:p>
        </w:tc>
        <w:tc>
          <w:tcPr>
            <w:tcW w:w="7653" w:type="dxa"/>
            <w:gridSpan w:val="3"/>
            <w:shd w:val="clear" w:color="auto" w:fill="auto"/>
            <w:vAlign w:val="center"/>
          </w:tcPr>
          <w:p w14:paraId="5CBDE1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ports input, one for hot backup, BNC interface</w:t>
            </w:r>
          </w:p>
        </w:tc>
      </w:tr>
      <w:tr w14:paraId="4B835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441274E8">
            <w:pPr>
              <w:jc w:val="left"/>
              <w:rPr>
                <w:rFonts w:hint="eastAsia" w:ascii="宋体"/>
                <w:sz w:val="24"/>
                <w:szCs w:val="24"/>
              </w:rPr>
            </w:pPr>
          </w:p>
        </w:tc>
        <w:tc>
          <w:tcPr>
            <w:tcW w:w="7653" w:type="dxa"/>
            <w:gridSpan w:val="3"/>
            <w:shd w:val="clear" w:color="auto" w:fill="auto"/>
            <w:vAlign w:val="center"/>
          </w:tcPr>
          <w:p w14:paraId="65C6A2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Dual IP input ports over UDP/RTP, Unicast/Multicast, GE ports</w:t>
            </w:r>
          </w:p>
        </w:tc>
      </w:tr>
      <w:tr w14:paraId="45CBF3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474E69E1">
            <w:pPr>
              <w:jc w:val="left"/>
              <w:rPr>
                <w:rFonts w:hint="eastAsia" w:ascii="宋体"/>
                <w:sz w:val="24"/>
                <w:szCs w:val="24"/>
              </w:rPr>
            </w:pPr>
          </w:p>
        </w:tc>
        <w:tc>
          <w:tcPr>
            <w:tcW w:w="7653" w:type="dxa"/>
            <w:gridSpan w:val="3"/>
            <w:shd w:val="clear" w:color="auto" w:fill="auto"/>
            <w:vAlign w:val="center"/>
          </w:tcPr>
          <w:p w14:paraId="33D526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channel 10MHz reference clock input</w:t>
            </w:r>
          </w:p>
        </w:tc>
      </w:tr>
      <w:tr w14:paraId="04EA62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45ADF1D6">
            <w:pPr>
              <w:jc w:val="left"/>
              <w:rPr>
                <w:rFonts w:hint="eastAsia" w:ascii="宋体"/>
                <w:sz w:val="24"/>
                <w:szCs w:val="24"/>
              </w:rPr>
            </w:pPr>
          </w:p>
        </w:tc>
        <w:tc>
          <w:tcPr>
            <w:tcW w:w="7653" w:type="dxa"/>
            <w:gridSpan w:val="3"/>
            <w:shd w:val="clear" w:color="auto" w:fill="auto"/>
            <w:vAlign w:val="center"/>
          </w:tcPr>
          <w:p w14:paraId="4D8832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RF input for DPD  -15.2dbm~+5dbm</w:t>
            </w:r>
          </w:p>
        </w:tc>
      </w:tr>
      <w:tr w14:paraId="52B293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restart"/>
            <w:shd w:val="clear" w:color="auto" w:fill="auto"/>
            <w:vAlign w:val="center"/>
          </w:tcPr>
          <w:p w14:paraId="7F1ECB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Modulation</w:t>
            </w:r>
          </w:p>
        </w:tc>
        <w:tc>
          <w:tcPr>
            <w:tcW w:w="2948" w:type="dxa"/>
            <w:gridSpan w:val="2"/>
            <w:shd w:val="clear" w:color="auto" w:fill="auto"/>
            <w:vAlign w:val="center"/>
          </w:tcPr>
          <w:p w14:paraId="1EC382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675" w:type="dxa"/>
            <w:shd w:val="clear" w:color="auto" w:fill="auto"/>
            <w:vAlign w:val="center"/>
          </w:tcPr>
          <w:p w14:paraId="67D91B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ARIB STD-B31</w:t>
            </w:r>
          </w:p>
        </w:tc>
      </w:tr>
      <w:tr w14:paraId="53E626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64494BA9">
            <w:pPr>
              <w:jc w:val="left"/>
              <w:rPr>
                <w:rFonts w:hint="eastAsia" w:ascii="宋体"/>
                <w:sz w:val="24"/>
                <w:szCs w:val="24"/>
              </w:rPr>
            </w:pPr>
          </w:p>
        </w:tc>
        <w:tc>
          <w:tcPr>
            <w:tcW w:w="2948" w:type="dxa"/>
            <w:gridSpan w:val="2"/>
            <w:shd w:val="clear" w:color="auto" w:fill="auto"/>
            <w:vAlign w:val="center"/>
          </w:tcPr>
          <w:p w14:paraId="72B299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w:t>
            </w:r>
          </w:p>
        </w:tc>
        <w:tc>
          <w:tcPr>
            <w:tcW w:w="4675" w:type="dxa"/>
            <w:shd w:val="clear" w:color="auto" w:fill="auto"/>
            <w:vAlign w:val="center"/>
          </w:tcPr>
          <w:p w14:paraId="01E2CD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1(2k), mode 2(4k), mode 3(8k)</w:t>
            </w:r>
          </w:p>
        </w:tc>
      </w:tr>
      <w:tr w14:paraId="76420C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4842B754">
            <w:pPr>
              <w:jc w:val="left"/>
              <w:rPr>
                <w:rFonts w:hint="eastAsia" w:ascii="宋体"/>
                <w:sz w:val="24"/>
                <w:szCs w:val="24"/>
              </w:rPr>
            </w:pPr>
          </w:p>
        </w:tc>
        <w:tc>
          <w:tcPr>
            <w:tcW w:w="2948" w:type="dxa"/>
            <w:gridSpan w:val="2"/>
            <w:shd w:val="clear" w:color="auto" w:fill="auto"/>
            <w:vAlign w:val="center"/>
          </w:tcPr>
          <w:p w14:paraId="180F35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675" w:type="dxa"/>
            <w:shd w:val="clear" w:color="auto" w:fill="auto"/>
            <w:vAlign w:val="center"/>
          </w:tcPr>
          <w:p w14:paraId="273288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DQPSK, QPSK, 16QAM, 64QAM</w:t>
            </w:r>
          </w:p>
        </w:tc>
      </w:tr>
      <w:tr w14:paraId="2055B9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6301B53F">
            <w:pPr>
              <w:jc w:val="left"/>
              <w:rPr>
                <w:rFonts w:hint="eastAsia" w:ascii="宋体"/>
                <w:sz w:val="24"/>
                <w:szCs w:val="24"/>
              </w:rPr>
            </w:pPr>
          </w:p>
        </w:tc>
        <w:tc>
          <w:tcPr>
            <w:tcW w:w="2948" w:type="dxa"/>
            <w:gridSpan w:val="2"/>
            <w:shd w:val="clear" w:color="auto" w:fill="auto"/>
            <w:vAlign w:val="center"/>
          </w:tcPr>
          <w:p w14:paraId="052479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External coding</w:t>
            </w:r>
          </w:p>
        </w:tc>
        <w:tc>
          <w:tcPr>
            <w:tcW w:w="4675" w:type="dxa"/>
            <w:shd w:val="clear" w:color="auto" w:fill="auto"/>
            <w:vAlign w:val="center"/>
          </w:tcPr>
          <w:p w14:paraId="2DB577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 (204，188)</w:t>
            </w:r>
          </w:p>
        </w:tc>
      </w:tr>
      <w:tr w14:paraId="5B4C67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07" w:type="dxa"/>
            <w:vMerge w:val="continue"/>
            <w:shd w:val="clear" w:color="auto" w:fill="auto"/>
            <w:vAlign w:val="center"/>
          </w:tcPr>
          <w:p w14:paraId="1873ACE9">
            <w:pPr>
              <w:jc w:val="left"/>
              <w:rPr>
                <w:rFonts w:hint="eastAsia" w:ascii="宋体"/>
                <w:sz w:val="24"/>
                <w:szCs w:val="24"/>
              </w:rPr>
            </w:pPr>
          </w:p>
        </w:tc>
        <w:tc>
          <w:tcPr>
            <w:tcW w:w="2948" w:type="dxa"/>
            <w:gridSpan w:val="2"/>
            <w:shd w:val="clear" w:color="auto" w:fill="auto"/>
            <w:vAlign w:val="center"/>
          </w:tcPr>
          <w:p w14:paraId="67A81B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Internal coding</w:t>
            </w:r>
          </w:p>
        </w:tc>
        <w:tc>
          <w:tcPr>
            <w:tcW w:w="4675" w:type="dxa"/>
            <w:shd w:val="clear" w:color="auto" w:fill="auto"/>
            <w:vAlign w:val="center"/>
          </w:tcPr>
          <w:p w14:paraId="4ACC94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Convolution (1/2, 2/3, 3/4, 5/6, 7/8)</w:t>
            </w:r>
          </w:p>
        </w:tc>
      </w:tr>
      <w:tr w14:paraId="0AEAC3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3D466AF4">
            <w:pPr>
              <w:jc w:val="left"/>
              <w:rPr>
                <w:rFonts w:hint="eastAsia" w:ascii="宋体"/>
                <w:sz w:val="24"/>
                <w:szCs w:val="24"/>
              </w:rPr>
            </w:pPr>
          </w:p>
        </w:tc>
        <w:tc>
          <w:tcPr>
            <w:tcW w:w="2948" w:type="dxa"/>
            <w:gridSpan w:val="2"/>
            <w:shd w:val="clear" w:color="auto" w:fill="auto"/>
            <w:vAlign w:val="center"/>
          </w:tcPr>
          <w:p w14:paraId="0E94D8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675" w:type="dxa"/>
            <w:shd w:val="clear" w:color="auto" w:fill="auto"/>
            <w:vAlign w:val="center"/>
          </w:tcPr>
          <w:p w14:paraId="0EE551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2266EC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2007" w:type="dxa"/>
            <w:vMerge w:val="continue"/>
            <w:shd w:val="clear" w:color="auto" w:fill="auto"/>
            <w:vAlign w:val="center"/>
          </w:tcPr>
          <w:p w14:paraId="75B5F17A">
            <w:pPr>
              <w:jc w:val="left"/>
              <w:rPr>
                <w:rFonts w:hint="eastAsia" w:ascii="宋体"/>
                <w:sz w:val="24"/>
                <w:szCs w:val="24"/>
              </w:rPr>
            </w:pPr>
          </w:p>
        </w:tc>
        <w:tc>
          <w:tcPr>
            <w:tcW w:w="2948" w:type="dxa"/>
            <w:gridSpan w:val="2"/>
            <w:shd w:val="clear" w:color="auto" w:fill="auto"/>
            <w:vAlign w:val="center"/>
          </w:tcPr>
          <w:p w14:paraId="35F4D4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Hierarchy mode</w:t>
            </w:r>
          </w:p>
        </w:tc>
        <w:tc>
          <w:tcPr>
            <w:tcW w:w="4675" w:type="dxa"/>
            <w:shd w:val="clear" w:color="auto" w:fill="auto"/>
            <w:vAlign w:val="center"/>
          </w:tcPr>
          <w:p w14:paraId="29A871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A、A+B、A+B+C</w:t>
            </w:r>
          </w:p>
        </w:tc>
      </w:tr>
      <w:tr w14:paraId="15F86C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blCellSpacing w:w="0" w:type="dxa"/>
        </w:trPr>
        <w:tc>
          <w:tcPr>
            <w:tcW w:w="2007" w:type="dxa"/>
            <w:vMerge w:val="continue"/>
            <w:shd w:val="clear" w:color="auto" w:fill="auto"/>
            <w:vAlign w:val="center"/>
          </w:tcPr>
          <w:p w14:paraId="4A46F0FD">
            <w:pPr>
              <w:jc w:val="left"/>
              <w:rPr>
                <w:rFonts w:hint="eastAsia" w:ascii="宋体"/>
                <w:sz w:val="24"/>
                <w:szCs w:val="24"/>
              </w:rPr>
            </w:pPr>
          </w:p>
        </w:tc>
        <w:tc>
          <w:tcPr>
            <w:tcW w:w="2948" w:type="dxa"/>
            <w:gridSpan w:val="2"/>
            <w:shd w:val="clear" w:color="auto" w:fill="auto"/>
            <w:vAlign w:val="center"/>
          </w:tcPr>
          <w:p w14:paraId="159B9F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Time domain interlacing</w:t>
            </w:r>
          </w:p>
        </w:tc>
        <w:tc>
          <w:tcPr>
            <w:tcW w:w="4675" w:type="dxa"/>
            <w:shd w:val="clear" w:color="auto" w:fill="auto"/>
            <w:vAlign w:val="center"/>
          </w:tcPr>
          <w:p w14:paraId="6DE92A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1: 0, 4, 8, 16    mode 2: 0, 2, 4, 8</w:t>
            </w:r>
          </w:p>
          <w:p w14:paraId="25C46B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3: 0, 1, 2, 4</w:t>
            </w:r>
          </w:p>
        </w:tc>
      </w:tr>
      <w:tr w14:paraId="588B4F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5" w:hRule="atLeast"/>
          <w:tblCellSpacing w:w="0" w:type="dxa"/>
        </w:trPr>
        <w:tc>
          <w:tcPr>
            <w:tcW w:w="2007" w:type="dxa"/>
            <w:vMerge w:val="continue"/>
            <w:shd w:val="clear" w:color="auto" w:fill="auto"/>
            <w:vAlign w:val="center"/>
          </w:tcPr>
          <w:p w14:paraId="5072CFB1">
            <w:pPr>
              <w:jc w:val="left"/>
              <w:rPr>
                <w:rFonts w:hint="eastAsia" w:ascii="宋体"/>
                <w:sz w:val="24"/>
                <w:szCs w:val="24"/>
              </w:rPr>
            </w:pPr>
          </w:p>
        </w:tc>
        <w:tc>
          <w:tcPr>
            <w:tcW w:w="2948" w:type="dxa"/>
            <w:gridSpan w:val="2"/>
            <w:shd w:val="clear" w:color="auto" w:fill="auto"/>
            <w:vAlign w:val="center"/>
          </w:tcPr>
          <w:p w14:paraId="329F48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675" w:type="dxa"/>
            <w:shd w:val="clear" w:color="auto" w:fill="auto"/>
            <w:vAlign w:val="center"/>
          </w:tcPr>
          <w:p w14:paraId="6E920D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6MHz</w:t>
            </w:r>
          </w:p>
        </w:tc>
      </w:tr>
      <w:tr w14:paraId="766677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tblCellSpacing w:w="0" w:type="dxa"/>
        </w:trPr>
        <w:tc>
          <w:tcPr>
            <w:tcW w:w="2007" w:type="dxa"/>
            <w:vMerge w:val="restart"/>
            <w:shd w:val="clear" w:color="auto" w:fill="auto"/>
            <w:vAlign w:val="center"/>
          </w:tcPr>
          <w:p w14:paraId="76B316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RF Out</w:t>
            </w:r>
          </w:p>
        </w:tc>
        <w:tc>
          <w:tcPr>
            <w:tcW w:w="2948" w:type="dxa"/>
            <w:gridSpan w:val="2"/>
            <w:shd w:val="clear" w:color="auto" w:fill="auto"/>
            <w:vAlign w:val="center"/>
          </w:tcPr>
          <w:p w14:paraId="14337A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Connector</w:t>
            </w:r>
          </w:p>
        </w:tc>
        <w:tc>
          <w:tcPr>
            <w:tcW w:w="4675" w:type="dxa"/>
            <w:shd w:val="clear" w:color="auto" w:fill="auto"/>
            <w:vAlign w:val="center"/>
          </w:tcPr>
          <w:p w14:paraId="197063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 Type, 50ΩImpedance</w:t>
            </w:r>
          </w:p>
        </w:tc>
      </w:tr>
      <w:tr w14:paraId="65B7E6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07" w:type="dxa"/>
            <w:vMerge w:val="continue"/>
            <w:shd w:val="clear" w:color="auto" w:fill="auto"/>
            <w:vAlign w:val="center"/>
          </w:tcPr>
          <w:p w14:paraId="170FA119">
            <w:pPr>
              <w:jc w:val="left"/>
              <w:rPr>
                <w:rFonts w:hint="eastAsia" w:ascii="宋体"/>
                <w:sz w:val="24"/>
                <w:szCs w:val="24"/>
              </w:rPr>
            </w:pPr>
          </w:p>
        </w:tc>
        <w:tc>
          <w:tcPr>
            <w:tcW w:w="2948" w:type="dxa"/>
            <w:gridSpan w:val="2"/>
            <w:shd w:val="clear" w:color="auto" w:fill="auto"/>
            <w:vAlign w:val="center"/>
          </w:tcPr>
          <w:p w14:paraId="5C29FE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range</w:t>
            </w:r>
          </w:p>
        </w:tc>
        <w:tc>
          <w:tcPr>
            <w:tcW w:w="4675" w:type="dxa"/>
            <w:shd w:val="clear" w:color="auto" w:fill="auto"/>
            <w:vAlign w:val="center"/>
          </w:tcPr>
          <w:p w14:paraId="0ACDA2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50~999Mhz，1Hz step</w:t>
            </w:r>
          </w:p>
        </w:tc>
      </w:tr>
      <w:tr w14:paraId="2497DF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47F9DFB5">
            <w:pPr>
              <w:jc w:val="left"/>
              <w:rPr>
                <w:rFonts w:hint="eastAsia" w:ascii="宋体"/>
                <w:sz w:val="24"/>
                <w:szCs w:val="24"/>
              </w:rPr>
            </w:pPr>
          </w:p>
        </w:tc>
        <w:tc>
          <w:tcPr>
            <w:tcW w:w="2948" w:type="dxa"/>
            <w:gridSpan w:val="2"/>
            <w:shd w:val="clear" w:color="auto" w:fill="auto"/>
            <w:vAlign w:val="center"/>
          </w:tcPr>
          <w:p w14:paraId="0C870F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level ATT</w:t>
            </w:r>
          </w:p>
        </w:tc>
        <w:tc>
          <w:tcPr>
            <w:tcW w:w="4675" w:type="dxa"/>
            <w:shd w:val="clear" w:color="auto" w:fill="auto"/>
            <w:vAlign w:val="center"/>
          </w:tcPr>
          <w:p w14:paraId="4726C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-20dbm~+5dbm，0.1db step</w:t>
            </w:r>
          </w:p>
        </w:tc>
      </w:tr>
      <w:tr w14:paraId="58AE91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10" w:hRule="atLeast"/>
          <w:tblCellSpacing w:w="0" w:type="dxa"/>
        </w:trPr>
        <w:tc>
          <w:tcPr>
            <w:tcW w:w="2007" w:type="dxa"/>
            <w:vMerge w:val="continue"/>
            <w:shd w:val="clear" w:color="auto" w:fill="auto"/>
            <w:vAlign w:val="center"/>
          </w:tcPr>
          <w:p w14:paraId="6281E41A">
            <w:pPr>
              <w:jc w:val="left"/>
              <w:rPr>
                <w:rFonts w:hint="eastAsia" w:ascii="宋体"/>
                <w:sz w:val="24"/>
                <w:szCs w:val="24"/>
              </w:rPr>
            </w:pPr>
          </w:p>
        </w:tc>
        <w:tc>
          <w:tcPr>
            <w:tcW w:w="2948" w:type="dxa"/>
            <w:gridSpan w:val="2"/>
            <w:shd w:val="clear" w:color="auto" w:fill="auto"/>
            <w:vAlign w:val="center"/>
          </w:tcPr>
          <w:p w14:paraId="01135F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675" w:type="dxa"/>
            <w:shd w:val="clear" w:color="auto" w:fill="auto"/>
            <w:vAlign w:val="center"/>
          </w:tcPr>
          <w:p w14:paraId="6336A3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42db</w:t>
            </w:r>
          </w:p>
        </w:tc>
      </w:tr>
      <w:tr w14:paraId="200C2F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25" w:hRule="atLeast"/>
          <w:tblCellSpacing w:w="0" w:type="dxa"/>
        </w:trPr>
        <w:tc>
          <w:tcPr>
            <w:tcW w:w="2007" w:type="dxa"/>
            <w:shd w:val="clear" w:color="auto" w:fill="auto"/>
            <w:vAlign w:val="center"/>
          </w:tcPr>
          <w:p w14:paraId="7DD8CE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Non-linear DPD</w:t>
            </w:r>
          </w:p>
        </w:tc>
        <w:tc>
          <w:tcPr>
            <w:tcW w:w="7653" w:type="dxa"/>
            <w:gridSpan w:val="3"/>
            <w:shd w:val="clear" w:color="auto" w:fill="auto"/>
            <w:vAlign w:val="center"/>
          </w:tcPr>
          <w:p w14:paraId="19903F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over 10db ACPR improvement (normally)</w:t>
            </w:r>
          </w:p>
        </w:tc>
      </w:tr>
      <w:tr w14:paraId="408022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blCellSpacing w:w="0" w:type="dxa"/>
        </w:trPr>
        <w:tc>
          <w:tcPr>
            <w:tcW w:w="2007" w:type="dxa"/>
            <w:shd w:val="clear" w:color="auto" w:fill="auto"/>
            <w:vAlign w:val="center"/>
          </w:tcPr>
          <w:p w14:paraId="42354F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linear DPD</w:t>
            </w:r>
          </w:p>
        </w:tc>
        <w:tc>
          <w:tcPr>
            <w:tcW w:w="7653" w:type="dxa"/>
            <w:gridSpan w:val="3"/>
            <w:shd w:val="clear" w:color="auto" w:fill="auto"/>
            <w:vAlign w:val="center"/>
          </w:tcPr>
          <w:p w14:paraId="438401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over 10db non-flatness adjustment(normally)</w:t>
            </w:r>
          </w:p>
        </w:tc>
      </w:tr>
      <w:tr w14:paraId="2E151F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restart"/>
            <w:shd w:val="clear" w:color="auto" w:fill="auto"/>
            <w:vAlign w:val="center"/>
          </w:tcPr>
          <w:p w14:paraId="0C0DE9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pPr>
            <w:r>
              <w:t>System</w:t>
            </w:r>
          </w:p>
        </w:tc>
        <w:tc>
          <w:tcPr>
            <w:tcW w:w="7653" w:type="dxa"/>
            <w:gridSpan w:val="3"/>
            <w:shd w:val="clear" w:color="auto" w:fill="auto"/>
            <w:vAlign w:val="center"/>
          </w:tcPr>
          <w:p w14:paraId="41A6E0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 display &amp; keyboard operation, WEB, Chinese &amp; English operation display</w:t>
            </w:r>
          </w:p>
        </w:tc>
      </w:tr>
      <w:tr w14:paraId="23DBDB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0A619D94">
            <w:pPr>
              <w:jc w:val="left"/>
              <w:rPr>
                <w:rFonts w:hint="eastAsia" w:ascii="宋体"/>
                <w:sz w:val="24"/>
                <w:szCs w:val="24"/>
              </w:rPr>
            </w:pPr>
          </w:p>
        </w:tc>
        <w:tc>
          <w:tcPr>
            <w:tcW w:w="7653" w:type="dxa"/>
            <w:gridSpan w:val="3"/>
            <w:shd w:val="clear" w:color="auto" w:fill="auto"/>
            <w:vAlign w:val="center"/>
          </w:tcPr>
          <w:p w14:paraId="584754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Supporting software upgrading through WEB</w:t>
            </w:r>
          </w:p>
        </w:tc>
      </w:tr>
      <w:tr w14:paraId="413DD5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restart"/>
            <w:shd w:val="clear" w:color="auto" w:fill="auto"/>
            <w:vAlign w:val="center"/>
          </w:tcPr>
          <w:p w14:paraId="078199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pPr>
            <w:r>
              <w:t>General</w:t>
            </w:r>
          </w:p>
        </w:tc>
        <w:tc>
          <w:tcPr>
            <w:tcW w:w="2808" w:type="dxa"/>
            <w:shd w:val="clear" w:color="auto" w:fill="auto"/>
            <w:vAlign w:val="center"/>
          </w:tcPr>
          <w:p w14:paraId="6E72B8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Demission (W*L*H)</w:t>
            </w:r>
          </w:p>
        </w:tc>
        <w:tc>
          <w:tcPr>
            <w:tcW w:w="4815" w:type="dxa"/>
            <w:gridSpan w:val="2"/>
            <w:shd w:val="clear" w:color="auto" w:fill="auto"/>
            <w:vAlign w:val="center"/>
          </w:tcPr>
          <w:p w14:paraId="1A3CEC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440mm×414mm×44.5mm</w:t>
            </w:r>
          </w:p>
        </w:tc>
      </w:tr>
      <w:tr w14:paraId="1BE62F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07" w:type="dxa"/>
            <w:vMerge w:val="continue"/>
            <w:shd w:val="clear" w:color="auto" w:fill="auto"/>
            <w:vAlign w:val="center"/>
          </w:tcPr>
          <w:p w14:paraId="7FBA30B5">
            <w:pPr>
              <w:jc w:val="left"/>
              <w:rPr>
                <w:rFonts w:hint="eastAsia" w:ascii="宋体"/>
                <w:sz w:val="24"/>
                <w:szCs w:val="24"/>
              </w:rPr>
            </w:pPr>
          </w:p>
        </w:tc>
        <w:tc>
          <w:tcPr>
            <w:tcW w:w="2808" w:type="dxa"/>
            <w:shd w:val="clear" w:color="auto" w:fill="auto"/>
            <w:vAlign w:val="center"/>
          </w:tcPr>
          <w:p w14:paraId="2829A3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4815" w:type="dxa"/>
            <w:gridSpan w:val="2"/>
            <w:shd w:val="clear" w:color="auto" w:fill="auto"/>
            <w:vAlign w:val="center"/>
          </w:tcPr>
          <w:p w14:paraId="206F53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4.9kg</w:t>
            </w:r>
          </w:p>
        </w:tc>
      </w:tr>
      <w:tr w14:paraId="7AC5F4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007" w:type="dxa"/>
            <w:vMerge w:val="continue"/>
            <w:shd w:val="clear" w:color="auto" w:fill="auto"/>
            <w:vAlign w:val="center"/>
          </w:tcPr>
          <w:p w14:paraId="356376FC">
            <w:pPr>
              <w:jc w:val="left"/>
              <w:rPr>
                <w:rFonts w:hint="eastAsia" w:ascii="宋体"/>
                <w:sz w:val="24"/>
                <w:szCs w:val="24"/>
              </w:rPr>
            </w:pPr>
          </w:p>
        </w:tc>
        <w:tc>
          <w:tcPr>
            <w:tcW w:w="2808" w:type="dxa"/>
            <w:shd w:val="clear" w:color="auto" w:fill="auto"/>
            <w:vAlign w:val="center"/>
          </w:tcPr>
          <w:p w14:paraId="489B1D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4815" w:type="dxa"/>
            <w:gridSpan w:val="2"/>
            <w:shd w:val="clear" w:color="auto" w:fill="auto"/>
            <w:vAlign w:val="center"/>
          </w:tcPr>
          <w:p w14:paraId="3FD139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0~45℃(operation),-20~80℃(storage)</w:t>
            </w:r>
          </w:p>
        </w:tc>
      </w:tr>
      <w:tr w14:paraId="592617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007" w:type="dxa"/>
            <w:vMerge w:val="continue"/>
            <w:shd w:val="clear" w:color="auto" w:fill="auto"/>
            <w:vAlign w:val="center"/>
          </w:tcPr>
          <w:p w14:paraId="10199A2B">
            <w:pPr>
              <w:jc w:val="left"/>
              <w:rPr>
                <w:rFonts w:hint="eastAsia" w:ascii="宋体"/>
                <w:sz w:val="24"/>
                <w:szCs w:val="24"/>
              </w:rPr>
            </w:pPr>
          </w:p>
        </w:tc>
        <w:tc>
          <w:tcPr>
            <w:tcW w:w="2808" w:type="dxa"/>
            <w:shd w:val="clear" w:color="auto" w:fill="auto"/>
            <w:vAlign w:val="center"/>
          </w:tcPr>
          <w:p w14:paraId="168051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4815" w:type="dxa"/>
            <w:gridSpan w:val="2"/>
            <w:shd w:val="clear" w:color="auto" w:fill="auto"/>
            <w:vAlign w:val="center"/>
          </w:tcPr>
          <w:p w14:paraId="685257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100V~240V,50/60Hz</w:t>
            </w:r>
          </w:p>
        </w:tc>
      </w:tr>
      <w:tr w14:paraId="579D00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2007" w:type="dxa"/>
            <w:vMerge w:val="continue"/>
            <w:shd w:val="clear" w:color="auto" w:fill="auto"/>
            <w:vAlign w:val="center"/>
          </w:tcPr>
          <w:p w14:paraId="2A3901C4">
            <w:pPr>
              <w:jc w:val="left"/>
              <w:rPr>
                <w:rFonts w:hint="eastAsia" w:ascii="宋体"/>
                <w:sz w:val="24"/>
                <w:szCs w:val="24"/>
              </w:rPr>
            </w:pPr>
          </w:p>
        </w:tc>
        <w:tc>
          <w:tcPr>
            <w:tcW w:w="2808" w:type="dxa"/>
            <w:shd w:val="clear" w:color="auto" w:fill="auto"/>
            <w:vAlign w:val="center"/>
          </w:tcPr>
          <w:p w14:paraId="4D369C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4815" w:type="dxa"/>
            <w:gridSpan w:val="2"/>
            <w:shd w:val="clear" w:color="auto" w:fill="auto"/>
            <w:vAlign w:val="center"/>
          </w:tcPr>
          <w:p w14:paraId="1FFCD0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25W</w:t>
            </w:r>
          </w:p>
        </w:tc>
      </w:tr>
    </w:tbl>
    <w:p w14:paraId="3040DF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86EC9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4"/>
          <w:szCs w:val="24"/>
          <w:shd w:val="clear" w:fill="FEFCFD"/>
        </w:rPr>
        <w:t>Principle chart</w:t>
      </w:r>
    </w:p>
    <w:p w14:paraId="7AAF57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B5010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84"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1725" cy="2916555"/>
            <wp:effectExtent l="0" t="0" r="9525" b="171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1725" cy="2916555"/>
                    </a:xfrm>
                    <a:prstGeom prst="rect">
                      <a:avLst/>
                    </a:prstGeom>
                    <a:noFill/>
                    <a:ln w="9525">
                      <a:noFill/>
                    </a:ln>
                  </pic:spPr>
                </pic:pic>
              </a:graphicData>
            </a:graphic>
          </wp:inline>
        </w:drawing>
      </w:r>
    </w:p>
    <w:p w14:paraId="2188A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EDE5781">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545ACEF">
      <w:pPr>
        <w:rPr>
          <w:rFonts w:hint="default" w:ascii="Verdana" w:hAnsi="Verdana" w:cs="Verdana"/>
          <w:b w:val="0"/>
          <w:i w:val="0"/>
          <w:strike w:val="0"/>
          <w:color w:val="000000"/>
          <w:sz w:val="28"/>
          <w:lang w:val="en-US" w:eastAsia="zh-CN"/>
        </w:rPr>
      </w:pPr>
    </w:p>
    <w:p w14:paraId="266E7088">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2112263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3134D3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31996626">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37C3A0B"/>
    <w:rsid w:val="0A317F02"/>
    <w:rsid w:val="0A680B1B"/>
    <w:rsid w:val="0E714EC9"/>
    <w:rsid w:val="0FC87CEA"/>
    <w:rsid w:val="101C4557"/>
    <w:rsid w:val="15C25510"/>
    <w:rsid w:val="16F767E6"/>
    <w:rsid w:val="18AE427D"/>
    <w:rsid w:val="18E81EA3"/>
    <w:rsid w:val="1B92692A"/>
    <w:rsid w:val="1B974A15"/>
    <w:rsid w:val="1CDC4CA0"/>
    <w:rsid w:val="1EBE4D52"/>
    <w:rsid w:val="1FCC39C5"/>
    <w:rsid w:val="20F61905"/>
    <w:rsid w:val="2199682E"/>
    <w:rsid w:val="23325B90"/>
    <w:rsid w:val="239E3C7B"/>
    <w:rsid w:val="27B55639"/>
    <w:rsid w:val="2A752F8B"/>
    <w:rsid w:val="2C655B9E"/>
    <w:rsid w:val="2C665CEA"/>
    <w:rsid w:val="2E0F6BE8"/>
    <w:rsid w:val="2FF81D16"/>
    <w:rsid w:val="314F3E41"/>
    <w:rsid w:val="34FF26CA"/>
    <w:rsid w:val="36EE59D9"/>
    <w:rsid w:val="3B533162"/>
    <w:rsid w:val="3CF745A8"/>
    <w:rsid w:val="45872050"/>
    <w:rsid w:val="478E224E"/>
    <w:rsid w:val="485E04E5"/>
    <w:rsid w:val="487316FE"/>
    <w:rsid w:val="49B75FAC"/>
    <w:rsid w:val="4E4A4BF6"/>
    <w:rsid w:val="4F8D25ED"/>
    <w:rsid w:val="51AD130D"/>
    <w:rsid w:val="53BF2098"/>
    <w:rsid w:val="540A3FAB"/>
    <w:rsid w:val="562E484B"/>
    <w:rsid w:val="56834992"/>
    <w:rsid w:val="5930748A"/>
    <w:rsid w:val="59933671"/>
    <w:rsid w:val="5AA83521"/>
    <w:rsid w:val="5EEA5249"/>
    <w:rsid w:val="609213A6"/>
    <w:rsid w:val="613F357F"/>
    <w:rsid w:val="61BA6334"/>
    <w:rsid w:val="63C27F07"/>
    <w:rsid w:val="66814673"/>
    <w:rsid w:val="68AD6386"/>
    <w:rsid w:val="6D7A6503"/>
    <w:rsid w:val="70757613"/>
    <w:rsid w:val="70B756B4"/>
    <w:rsid w:val="72A03E6C"/>
    <w:rsid w:val="73270F88"/>
    <w:rsid w:val="74455F31"/>
    <w:rsid w:val="7540100C"/>
    <w:rsid w:val="77935A18"/>
    <w:rsid w:val="79134850"/>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odulator/NDS2405G%20ISDB-T/3EEECN_20200928060639.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268</Words>
  <Characters>1539</Characters>
  <Lines>4</Lines>
  <Paragraphs>1</Paragraphs>
  <TotalTime>0</TotalTime>
  <ScaleCrop>false</ScaleCrop>
  <LinksUpToDate>false</LinksUpToDate>
  <CharactersWithSpaces>1742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2025-08-20T07:01:33Z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