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B8A3E">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FUQ-3702 HD IP Decoder Dual IP Inputs 1 IP Output 2 ASI Bidirectional Ports MPEG-2 AVC/H.264 Decoding Dual HD-SDI Outputs Web-Based Management Broadcast Headend Cable TV IPTV</w:t>
      </w:r>
    </w:p>
    <w:p w14:paraId="5B93ED1F">
      <w:pPr>
        <w:pStyle w:val="6"/>
        <w:widowControl/>
        <w:spacing w:beforeAutospacing="0" w:afterAutospacing="0" w:line="324" w:lineRule="atLeast"/>
        <w:jc w:val="left"/>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90820070625"/>
            <wp:cNvGraphicFramePr/>
            <a:graphic xmlns:a="http://schemas.openxmlformats.org/drawingml/2006/main">
              <a:graphicData uri="http://schemas.openxmlformats.org/drawingml/2006/picture">
                <pic:pic xmlns:pic="http://schemas.openxmlformats.org/drawingml/2006/picture">
                  <pic:nvPicPr>
                    <pic:cNvPr id="1" name="图片 1" descr="3EEECN_20190820070625"/>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333333"/>
          <w:sz w:val="18"/>
          <w:szCs w:val="18"/>
          <w:shd w:val="clear" w:color="auto" w:fill="FEFCFD"/>
        </w:rPr>
        <w:t>Product Overview</w:t>
      </w:r>
    </w:p>
    <w:p w14:paraId="0D6182D9">
      <w:pPr>
        <w:pStyle w:val="6"/>
        <w:widowControl/>
        <w:spacing w:beforeAutospacing="0" w:afterAutospacing="0" w:line="324" w:lineRule="atLeast"/>
        <w:ind w:left="568"/>
      </w:pPr>
      <w:r>
        <w:rPr>
          <w:rFonts w:hint="eastAsia" w:ascii="Verdana" w:hAnsi="Verdana" w:cs="Verdana"/>
          <w:color w:val="333333"/>
          <w:sz w:val="18"/>
          <w:szCs w:val="18"/>
          <w:shd w:val="clear" w:color="auto" w:fill="FEFCFD"/>
          <w:lang w:eastAsia="zh-CN"/>
        </w:rPr>
        <w:t xml:space="preserve">The FMUSER FUQ-3702 is a 1U HD IP decoder with dual IP inputs, single IP output, two bi-directional ASI ports, and dual HD/SD-SDI outputs featuring embedded audio. It decodes MPEG-2 and H.264 video streams, supporting audio formats like MPEG1 Layer2, LC-AAC, and HE-AAC. This rack-mountable unit includes web-server remote control for management. Ideal for broadcast headends, cable television systems, and IPTV deployments. </w:t>
      </w:r>
      <w:r>
        <w:rPr>
          <w:rFonts w:ascii="Verdana" w:hAnsi="Verdana" w:cs="Verdana"/>
          <w:color w:val="333333"/>
          <w:sz w:val="18"/>
          <w:szCs w:val="18"/>
          <w:shd w:val="clear" w:color="auto" w:fill="FEFCFD"/>
        </w:rPr>
        <w:t>It is a 1-U case supporting both IP and ASI input. After decoding process, it outputs 2 channels of HD/SD-SDI videos with dual stereo audios embedded in each port. It also supports 1 IP (MPTS) output and featured with dual bi-directional ASI ports for input and output alternatively.</w:t>
      </w:r>
    </w:p>
    <w:p w14:paraId="4EF3ACA8">
      <w:pPr>
        <w:pStyle w:val="6"/>
        <w:widowControl/>
        <w:spacing w:beforeAutospacing="0" w:afterAutospacing="0" w:line="324" w:lineRule="atLeast"/>
        <w:ind w:left="568"/>
      </w:pPr>
      <w:r>
        <w:rPr>
          <w:rFonts w:ascii="Verdana" w:hAnsi="Verdana" w:cs="Verdana"/>
          <w:color w:val="333333"/>
          <w:sz w:val="18"/>
          <w:szCs w:val="18"/>
          <w:shd w:val="clear" w:color="auto" w:fill="FEFCFD"/>
        </w:rPr>
        <w:t> </w:t>
      </w:r>
    </w:p>
    <w:p w14:paraId="1A15AEED">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r>
        <w:rPr>
          <w:rFonts w:hint="eastAsia" w:ascii="Verdana" w:hAnsi="Verdana" w:cs="Verdana"/>
          <w:color w:val="333333"/>
          <w:sz w:val="18"/>
          <w:szCs w:val="18"/>
          <w:shd w:val="clear" w:color="auto" w:fill="FEFCFD"/>
        </w:rPr>
        <w:t xml:space="preserve"> </w:t>
      </w:r>
    </w:p>
    <w:p w14:paraId="57D14C8B">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dual IP inputs and single IP output for versatile connectivity.  </w:t>
      </w:r>
    </w:p>
    <w:p w14:paraId="2A854797">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two bi-directional ASI ports configurable as input or output.  </w:t>
      </w:r>
    </w:p>
    <w:p w14:paraId="0694A12E">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dual HD/SD-SDI decoding outputs with embedded dual stereo audio per port.  </w:t>
      </w:r>
    </w:p>
    <w:p w14:paraId="5791F6B3">
      <w:pPr>
        <w:pStyle w:val="6"/>
        <w:widowControl/>
        <w:spacing w:beforeAutospacing="0" w:afterAutospacing="0" w:line="324" w:lineRule="atLeast"/>
        <w:ind w:left="426"/>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MPEG-2 and H.264 video decoding, and audio formats including MPEG1 Layer2, LC-AAC, and HE-AAC.  </w:t>
      </w:r>
    </w:p>
    <w:p w14:paraId="239CF02A">
      <w:pPr>
        <w:pStyle w:val="6"/>
        <w:widowControl/>
        <w:spacing w:beforeAutospacing="0" w:afterAutospacing="0" w:line="324" w:lineRule="atLeast"/>
        <w:ind w:left="426"/>
      </w:pPr>
      <w:r>
        <w:rPr>
          <w:rFonts w:hint="eastAsia" w:ascii="Verdana" w:hAnsi="Verdana" w:cs="Verdana"/>
          <w:color w:val="333333"/>
          <w:sz w:val="18"/>
          <w:szCs w:val="18"/>
          <w:shd w:val="clear" w:color="auto" w:fill="FEFCFD"/>
        </w:rPr>
        <w:t xml:space="preserve">Offers web-server remote control for easy management and CC/Subtitle support.  </w:t>
      </w:r>
    </w:p>
    <w:p w14:paraId="08C9E633">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4BF6B463">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0455" cy="2887345"/>
            <wp:effectExtent l="0" t="0" r="10795"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0455" cy="2887345"/>
                    </a:xfrm>
                    <a:prstGeom prst="rect">
                      <a:avLst/>
                    </a:prstGeom>
                    <a:noFill/>
                    <a:ln w="9525">
                      <a:noFill/>
                    </a:ln>
                  </pic:spPr>
                </pic:pic>
              </a:graphicData>
            </a:graphic>
          </wp:inline>
        </w:drawing>
      </w:r>
    </w:p>
    <w:p w14:paraId="7B23492D">
      <w:pPr>
        <w:pStyle w:val="6"/>
        <w:widowControl/>
        <w:spacing w:beforeAutospacing="0" w:afterAutospacing="0" w:line="324" w:lineRule="atLeast"/>
        <w:ind w:left="-142"/>
      </w:pPr>
      <w:r>
        <w:rPr>
          <w:rStyle w:val="10"/>
          <w:rFonts w:ascii="Verdana" w:hAnsi="Verdana" w:cs="Verdana"/>
          <w:color w:val="333333"/>
          <w:sz w:val="18"/>
          <w:szCs w:val="18"/>
          <w:shd w:val="clear" w:color="auto" w:fill="FEFCFD"/>
        </w:rPr>
        <w:t>  Specification</w:t>
      </w:r>
    </w:p>
    <w:p w14:paraId="3EB0B2AE">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31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95"/>
        <w:gridCol w:w="3090"/>
        <w:gridCol w:w="4530"/>
      </w:tblGrid>
      <w:tr w14:paraId="7527BC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1695" w:type="dxa"/>
            <w:vMerge w:val="restart"/>
            <w:shd w:val="clear" w:color="auto" w:fill="auto"/>
            <w:vAlign w:val="center"/>
          </w:tcPr>
          <w:p w14:paraId="4AC0D259">
            <w:pPr>
              <w:pStyle w:val="6"/>
              <w:widowControl/>
              <w:spacing w:beforeAutospacing="0" w:afterAutospacing="0" w:line="324" w:lineRule="atLeast"/>
              <w:ind w:left="34"/>
            </w:pPr>
            <w:r>
              <w:t>Input</w:t>
            </w:r>
          </w:p>
        </w:tc>
        <w:tc>
          <w:tcPr>
            <w:tcW w:w="7620" w:type="dxa"/>
            <w:gridSpan w:val="2"/>
            <w:shd w:val="clear" w:color="auto" w:fill="auto"/>
            <w:vAlign w:val="center"/>
          </w:tcPr>
          <w:p w14:paraId="61D020D0">
            <w:pPr>
              <w:pStyle w:val="6"/>
              <w:widowControl/>
              <w:spacing w:beforeAutospacing="0" w:afterAutospacing="0" w:line="324" w:lineRule="atLeast"/>
            </w:pPr>
            <w:r>
              <w:t>2 IP (MPTS/SPTS, 100M/1000Mbps Ethernet, RJ45, UDP protocol, Unicast/multicast)</w:t>
            </w:r>
          </w:p>
        </w:tc>
      </w:tr>
      <w:tr w14:paraId="701F03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4B9A2B4">
            <w:pPr>
              <w:jc w:val="left"/>
              <w:rPr>
                <w:rFonts w:ascii="宋体"/>
                <w:sz w:val="24"/>
                <w:szCs w:val="24"/>
              </w:rPr>
            </w:pPr>
          </w:p>
        </w:tc>
        <w:tc>
          <w:tcPr>
            <w:tcW w:w="7620" w:type="dxa"/>
            <w:gridSpan w:val="2"/>
            <w:shd w:val="clear" w:color="auto" w:fill="auto"/>
            <w:vAlign w:val="center"/>
          </w:tcPr>
          <w:p w14:paraId="4BFF7781">
            <w:pPr>
              <w:pStyle w:val="6"/>
              <w:widowControl/>
              <w:spacing w:beforeAutospacing="0" w:afterAutospacing="0" w:line="324" w:lineRule="atLeast"/>
            </w:pPr>
            <w:r>
              <w:t>2* ASI bi-direction, BNC 75Ω</w:t>
            </w:r>
          </w:p>
        </w:tc>
      </w:tr>
      <w:tr w14:paraId="31E030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45DC1BC8">
            <w:pPr>
              <w:pStyle w:val="6"/>
              <w:widowControl/>
              <w:spacing w:beforeAutospacing="0" w:afterAutospacing="0" w:line="324" w:lineRule="atLeast"/>
              <w:ind w:left="34"/>
            </w:pPr>
            <w:r>
              <w:t>Decode</w:t>
            </w:r>
          </w:p>
        </w:tc>
        <w:tc>
          <w:tcPr>
            <w:tcW w:w="3090" w:type="dxa"/>
            <w:shd w:val="clear" w:color="auto" w:fill="auto"/>
            <w:vAlign w:val="center"/>
          </w:tcPr>
          <w:p w14:paraId="34BDE4FC">
            <w:pPr>
              <w:pStyle w:val="6"/>
              <w:widowControl/>
              <w:spacing w:beforeAutospacing="0" w:afterAutospacing="0" w:line="324" w:lineRule="atLeast"/>
              <w:ind w:left="34"/>
            </w:pPr>
            <w:r>
              <w:t>Video Format</w:t>
            </w:r>
          </w:p>
        </w:tc>
        <w:tc>
          <w:tcPr>
            <w:tcW w:w="4530" w:type="dxa"/>
            <w:shd w:val="clear" w:color="auto" w:fill="auto"/>
            <w:vAlign w:val="center"/>
          </w:tcPr>
          <w:p w14:paraId="0B7D764D">
            <w:pPr>
              <w:pStyle w:val="6"/>
              <w:widowControl/>
              <w:spacing w:beforeAutospacing="0" w:afterAutospacing="0" w:line="324" w:lineRule="atLeast"/>
              <w:ind w:left="34"/>
            </w:pPr>
            <w:r>
              <w:t>MPEG-2, MPEG4 AVC/H.264</w:t>
            </w:r>
          </w:p>
        </w:tc>
      </w:tr>
      <w:tr w14:paraId="53B20B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641BC47">
            <w:pPr>
              <w:jc w:val="left"/>
              <w:rPr>
                <w:rFonts w:ascii="宋体"/>
                <w:sz w:val="24"/>
                <w:szCs w:val="24"/>
              </w:rPr>
            </w:pPr>
          </w:p>
        </w:tc>
        <w:tc>
          <w:tcPr>
            <w:tcW w:w="3090" w:type="dxa"/>
            <w:shd w:val="clear" w:color="auto" w:fill="auto"/>
            <w:vAlign w:val="center"/>
          </w:tcPr>
          <w:p w14:paraId="30E10A32">
            <w:pPr>
              <w:pStyle w:val="6"/>
              <w:widowControl/>
              <w:spacing w:beforeAutospacing="0" w:afterAutospacing="0" w:line="324" w:lineRule="atLeast"/>
              <w:ind w:left="34"/>
            </w:pPr>
            <w:r>
              <w:t>Interface</w:t>
            </w:r>
          </w:p>
        </w:tc>
        <w:tc>
          <w:tcPr>
            <w:tcW w:w="4530" w:type="dxa"/>
            <w:shd w:val="clear" w:color="auto" w:fill="auto"/>
            <w:vAlign w:val="center"/>
          </w:tcPr>
          <w:p w14:paraId="7C41F2A1">
            <w:pPr>
              <w:pStyle w:val="6"/>
              <w:widowControl/>
              <w:spacing w:beforeAutospacing="0" w:afterAutospacing="0" w:line="324" w:lineRule="atLeast"/>
              <w:ind w:left="34"/>
            </w:pPr>
            <w:r>
              <w:t>2* SDI HD/SD</w:t>
            </w:r>
          </w:p>
        </w:tc>
      </w:tr>
      <w:tr w14:paraId="37B8E1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continue"/>
            <w:shd w:val="clear" w:color="auto" w:fill="auto"/>
            <w:vAlign w:val="center"/>
          </w:tcPr>
          <w:p w14:paraId="00DAFFBE">
            <w:pPr>
              <w:jc w:val="left"/>
              <w:rPr>
                <w:rFonts w:ascii="宋体"/>
                <w:sz w:val="24"/>
                <w:szCs w:val="24"/>
              </w:rPr>
            </w:pPr>
          </w:p>
        </w:tc>
        <w:tc>
          <w:tcPr>
            <w:tcW w:w="3090" w:type="dxa"/>
            <w:shd w:val="clear" w:color="auto" w:fill="auto"/>
            <w:vAlign w:val="center"/>
          </w:tcPr>
          <w:p w14:paraId="32EAF4D9">
            <w:pPr>
              <w:pStyle w:val="6"/>
              <w:widowControl/>
              <w:spacing w:beforeAutospacing="0" w:afterAutospacing="0" w:line="324" w:lineRule="atLeast"/>
              <w:ind w:left="34"/>
            </w:pPr>
            <w:r>
              <w:t>Video Resolution</w:t>
            </w:r>
          </w:p>
        </w:tc>
        <w:tc>
          <w:tcPr>
            <w:tcW w:w="4530" w:type="dxa"/>
            <w:shd w:val="clear" w:color="auto" w:fill="auto"/>
            <w:vAlign w:val="center"/>
          </w:tcPr>
          <w:p w14:paraId="01F621B9">
            <w:pPr>
              <w:pStyle w:val="6"/>
              <w:widowControl/>
              <w:spacing w:beforeAutospacing="0" w:afterAutospacing="0" w:line="324" w:lineRule="atLeast"/>
              <w:ind w:left="34"/>
            </w:pPr>
            <w:r>
              <w:t>480i, 480p, 576i, 576p, 720p@50/59.94/60, 1080i@50/59.94/60</w:t>
            </w:r>
          </w:p>
        </w:tc>
      </w:tr>
      <w:tr w14:paraId="05F099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continue"/>
            <w:shd w:val="clear" w:color="auto" w:fill="auto"/>
            <w:vAlign w:val="center"/>
          </w:tcPr>
          <w:p w14:paraId="382B0658">
            <w:pPr>
              <w:jc w:val="left"/>
              <w:rPr>
                <w:rFonts w:ascii="宋体"/>
                <w:sz w:val="24"/>
                <w:szCs w:val="24"/>
              </w:rPr>
            </w:pPr>
          </w:p>
        </w:tc>
        <w:tc>
          <w:tcPr>
            <w:tcW w:w="3090" w:type="dxa"/>
            <w:shd w:val="clear" w:color="auto" w:fill="auto"/>
            <w:vAlign w:val="center"/>
          </w:tcPr>
          <w:p w14:paraId="127202B3">
            <w:pPr>
              <w:pStyle w:val="6"/>
              <w:widowControl/>
              <w:spacing w:beforeAutospacing="0" w:afterAutospacing="0" w:line="324" w:lineRule="atLeast"/>
              <w:ind w:left="34"/>
            </w:pPr>
            <w:r>
              <w:t>Audio Format</w:t>
            </w:r>
          </w:p>
        </w:tc>
        <w:tc>
          <w:tcPr>
            <w:tcW w:w="4530" w:type="dxa"/>
            <w:shd w:val="clear" w:color="auto" w:fill="auto"/>
            <w:vAlign w:val="center"/>
          </w:tcPr>
          <w:p w14:paraId="04C4090D">
            <w:pPr>
              <w:pStyle w:val="6"/>
              <w:widowControl/>
              <w:spacing w:beforeAutospacing="0" w:afterAutospacing="0" w:line="324" w:lineRule="atLeast"/>
              <w:ind w:left="34"/>
            </w:pPr>
            <w:r>
              <w:t>MPEG1 Layer2, LC-AAC, HE-AAC, AC3 Passthrough</w:t>
            </w:r>
          </w:p>
        </w:tc>
      </w:tr>
      <w:tr w14:paraId="54CD01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5265C5DA">
            <w:pPr>
              <w:jc w:val="left"/>
              <w:rPr>
                <w:rFonts w:ascii="宋体"/>
                <w:sz w:val="24"/>
                <w:szCs w:val="24"/>
              </w:rPr>
            </w:pPr>
          </w:p>
        </w:tc>
        <w:tc>
          <w:tcPr>
            <w:tcW w:w="3090" w:type="dxa"/>
            <w:shd w:val="clear" w:color="auto" w:fill="auto"/>
            <w:vAlign w:val="center"/>
          </w:tcPr>
          <w:p w14:paraId="3EC6AEF7">
            <w:pPr>
              <w:pStyle w:val="6"/>
              <w:widowControl/>
              <w:spacing w:beforeAutospacing="0" w:afterAutospacing="0" w:line="324" w:lineRule="atLeast"/>
              <w:ind w:left="34"/>
            </w:pPr>
            <w:r>
              <w:t>Audio Channel</w:t>
            </w:r>
          </w:p>
        </w:tc>
        <w:tc>
          <w:tcPr>
            <w:tcW w:w="4530" w:type="dxa"/>
            <w:shd w:val="clear" w:color="auto" w:fill="auto"/>
            <w:vAlign w:val="center"/>
          </w:tcPr>
          <w:p w14:paraId="435ABB44">
            <w:pPr>
              <w:pStyle w:val="6"/>
              <w:widowControl/>
              <w:spacing w:beforeAutospacing="0" w:afterAutospacing="0" w:line="324" w:lineRule="atLeast"/>
              <w:ind w:left="34"/>
            </w:pPr>
            <w:r>
              <w:rPr>
                <w:color w:val="FF0000"/>
              </w:rPr>
              <w:t>dual stereo audios embedded in each port</w:t>
            </w:r>
          </w:p>
        </w:tc>
      </w:tr>
      <w:tr w14:paraId="71F372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restart"/>
            <w:shd w:val="clear" w:color="auto" w:fill="auto"/>
            <w:vAlign w:val="center"/>
          </w:tcPr>
          <w:p w14:paraId="7818BC84">
            <w:pPr>
              <w:pStyle w:val="6"/>
              <w:widowControl/>
              <w:spacing w:beforeAutospacing="0" w:afterAutospacing="0" w:line="324" w:lineRule="atLeast"/>
              <w:ind w:left="34"/>
            </w:pPr>
            <w:r>
              <w:t>Output</w:t>
            </w:r>
          </w:p>
        </w:tc>
        <w:tc>
          <w:tcPr>
            <w:tcW w:w="7620" w:type="dxa"/>
            <w:gridSpan w:val="2"/>
            <w:shd w:val="clear" w:color="auto" w:fill="auto"/>
            <w:vAlign w:val="center"/>
          </w:tcPr>
          <w:p w14:paraId="4A49E6C6">
            <w:pPr>
              <w:pStyle w:val="6"/>
              <w:widowControl/>
              <w:spacing w:beforeAutospacing="0" w:afterAutospacing="0" w:line="324" w:lineRule="atLeast"/>
              <w:ind w:left="34"/>
            </w:pPr>
            <w:r>
              <w:t>2*HD/SD-SDI decoding out</w:t>
            </w:r>
          </w:p>
        </w:tc>
      </w:tr>
      <w:tr w14:paraId="168767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77EC1B0F">
            <w:pPr>
              <w:jc w:val="left"/>
              <w:rPr>
                <w:rFonts w:ascii="宋体"/>
                <w:sz w:val="24"/>
                <w:szCs w:val="24"/>
              </w:rPr>
            </w:pPr>
          </w:p>
        </w:tc>
        <w:tc>
          <w:tcPr>
            <w:tcW w:w="7620" w:type="dxa"/>
            <w:gridSpan w:val="2"/>
            <w:shd w:val="clear" w:color="auto" w:fill="auto"/>
            <w:vAlign w:val="center"/>
          </w:tcPr>
          <w:p w14:paraId="5ACBFF4C">
            <w:pPr>
              <w:pStyle w:val="6"/>
              <w:widowControl/>
              <w:spacing w:beforeAutospacing="0" w:afterAutospacing="0" w:line="324" w:lineRule="atLeast"/>
              <w:ind w:left="34"/>
            </w:pPr>
            <w:r>
              <w:t>0-2 ASI output</w:t>
            </w:r>
          </w:p>
        </w:tc>
      </w:tr>
      <w:tr w14:paraId="699405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16F58231">
            <w:pPr>
              <w:jc w:val="left"/>
              <w:rPr>
                <w:rFonts w:ascii="宋体"/>
                <w:sz w:val="24"/>
                <w:szCs w:val="24"/>
              </w:rPr>
            </w:pPr>
          </w:p>
        </w:tc>
        <w:tc>
          <w:tcPr>
            <w:tcW w:w="7620" w:type="dxa"/>
            <w:gridSpan w:val="2"/>
            <w:shd w:val="clear" w:color="auto" w:fill="auto"/>
            <w:vAlign w:val="center"/>
          </w:tcPr>
          <w:p w14:paraId="0E673A2C">
            <w:pPr>
              <w:pStyle w:val="6"/>
              <w:widowControl/>
              <w:spacing w:beforeAutospacing="0" w:afterAutospacing="0" w:line="324" w:lineRule="atLeast"/>
              <w:ind w:left="34"/>
            </w:pPr>
            <w:r>
              <w:t>1 IP output over UDP protocol</w:t>
            </w:r>
          </w:p>
        </w:tc>
      </w:tr>
      <w:tr w14:paraId="6B3791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restart"/>
            <w:shd w:val="clear" w:color="auto" w:fill="auto"/>
            <w:vAlign w:val="center"/>
          </w:tcPr>
          <w:p w14:paraId="69E7990C">
            <w:pPr>
              <w:pStyle w:val="6"/>
              <w:widowControl/>
              <w:spacing w:beforeAutospacing="0" w:afterAutospacing="0" w:line="324" w:lineRule="atLeast"/>
              <w:ind w:left="34"/>
            </w:pPr>
            <w:r>
              <w:t>General</w:t>
            </w:r>
          </w:p>
        </w:tc>
        <w:tc>
          <w:tcPr>
            <w:tcW w:w="3090" w:type="dxa"/>
            <w:shd w:val="clear" w:color="auto" w:fill="auto"/>
            <w:vAlign w:val="center"/>
          </w:tcPr>
          <w:p w14:paraId="2DF921B3">
            <w:pPr>
              <w:pStyle w:val="6"/>
              <w:widowControl/>
              <w:spacing w:beforeAutospacing="0" w:afterAutospacing="0" w:line="324" w:lineRule="atLeast"/>
              <w:ind w:left="34"/>
            </w:pPr>
            <w:r>
              <w:t>Operation</w:t>
            </w:r>
          </w:p>
        </w:tc>
        <w:tc>
          <w:tcPr>
            <w:tcW w:w="4530" w:type="dxa"/>
            <w:shd w:val="clear" w:color="auto" w:fill="auto"/>
            <w:vAlign w:val="center"/>
          </w:tcPr>
          <w:p w14:paraId="1A11CD71">
            <w:pPr>
              <w:pStyle w:val="6"/>
              <w:widowControl/>
              <w:spacing w:beforeAutospacing="0" w:afterAutospacing="0" w:line="324" w:lineRule="atLeast"/>
              <w:ind w:left="34"/>
            </w:pPr>
            <w:r>
              <w:t>Web-server</w:t>
            </w:r>
          </w:p>
        </w:tc>
      </w:tr>
      <w:tr w14:paraId="6D9720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2A25C98C">
            <w:pPr>
              <w:jc w:val="left"/>
              <w:rPr>
                <w:rFonts w:ascii="宋体"/>
                <w:sz w:val="24"/>
                <w:szCs w:val="24"/>
              </w:rPr>
            </w:pPr>
          </w:p>
        </w:tc>
        <w:tc>
          <w:tcPr>
            <w:tcW w:w="3090" w:type="dxa"/>
            <w:shd w:val="clear" w:color="auto" w:fill="auto"/>
            <w:vAlign w:val="center"/>
          </w:tcPr>
          <w:p w14:paraId="1CE1E14E">
            <w:pPr>
              <w:pStyle w:val="6"/>
              <w:widowControl/>
              <w:spacing w:beforeAutospacing="0" w:afterAutospacing="0" w:line="324" w:lineRule="atLeast"/>
              <w:ind w:left="34"/>
            </w:pPr>
            <w:r>
              <w:t>Language</w:t>
            </w:r>
          </w:p>
        </w:tc>
        <w:tc>
          <w:tcPr>
            <w:tcW w:w="4530" w:type="dxa"/>
            <w:shd w:val="clear" w:color="auto" w:fill="auto"/>
            <w:vAlign w:val="center"/>
          </w:tcPr>
          <w:p w14:paraId="27BDA446">
            <w:pPr>
              <w:pStyle w:val="6"/>
              <w:widowControl/>
              <w:spacing w:beforeAutospacing="0" w:afterAutospacing="0" w:line="324" w:lineRule="atLeast"/>
              <w:ind w:left="34"/>
            </w:pPr>
            <w:r>
              <w:t>Chinese/English</w:t>
            </w:r>
          </w:p>
        </w:tc>
      </w:tr>
      <w:tr w14:paraId="200F7B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0296D2D6">
            <w:pPr>
              <w:jc w:val="left"/>
              <w:rPr>
                <w:rFonts w:ascii="宋体"/>
                <w:sz w:val="24"/>
                <w:szCs w:val="24"/>
              </w:rPr>
            </w:pPr>
          </w:p>
        </w:tc>
        <w:tc>
          <w:tcPr>
            <w:tcW w:w="3090" w:type="dxa"/>
            <w:shd w:val="clear" w:color="auto" w:fill="auto"/>
            <w:vAlign w:val="center"/>
          </w:tcPr>
          <w:p w14:paraId="73EECDF4">
            <w:pPr>
              <w:pStyle w:val="6"/>
              <w:widowControl/>
              <w:spacing w:beforeAutospacing="0" w:afterAutospacing="0" w:line="324" w:lineRule="atLeast"/>
              <w:ind w:left="34"/>
            </w:pPr>
            <w:r>
              <w:t>Dimension (LxWxH)</w:t>
            </w:r>
          </w:p>
        </w:tc>
        <w:tc>
          <w:tcPr>
            <w:tcW w:w="4530" w:type="dxa"/>
            <w:shd w:val="clear" w:color="auto" w:fill="auto"/>
            <w:vAlign w:val="center"/>
          </w:tcPr>
          <w:p w14:paraId="102CA3D6">
            <w:pPr>
              <w:pStyle w:val="6"/>
              <w:widowControl/>
              <w:spacing w:beforeAutospacing="0" w:afterAutospacing="0" w:line="324" w:lineRule="atLeast"/>
              <w:ind w:left="34"/>
            </w:pPr>
            <w:r>
              <w:t>328 mm×482 mm×45mm</w:t>
            </w:r>
          </w:p>
        </w:tc>
      </w:tr>
      <w:tr w14:paraId="72ADFB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0C5F6832">
            <w:pPr>
              <w:jc w:val="left"/>
              <w:rPr>
                <w:rFonts w:ascii="宋体"/>
                <w:sz w:val="24"/>
                <w:szCs w:val="24"/>
              </w:rPr>
            </w:pPr>
          </w:p>
        </w:tc>
        <w:tc>
          <w:tcPr>
            <w:tcW w:w="3090" w:type="dxa"/>
            <w:shd w:val="clear" w:color="auto" w:fill="auto"/>
            <w:vAlign w:val="center"/>
          </w:tcPr>
          <w:p w14:paraId="06139E11">
            <w:pPr>
              <w:pStyle w:val="6"/>
              <w:widowControl/>
              <w:spacing w:beforeAutospacing="0" w:afterAutospacing="0" w:line="324" w:lineRule="atLeast"/>
              <w:ind w:left="34"/>
            </w:pPr>
            <w:r>
              <w:t>Environment</w:t>
            </w:r>
          </w:p>
        </w:tc>
        <w:tc>
          <w:tcPr>
            <w:tcW w:w="4530" w:type="dxa"/>
            <w:shd w:val="clear" w:color="auto" w:fill="auto"/>
            <w:vAlign w:val="center"/>
          </w:tcPr>
          <w:p w14:paraId="7ACDBE0A">
            <w:pPr>
              <w:pStyle w:val="6"/>
              <w:widowControl/>
              <w:spacing w:beforeAutospacing="0" w:afterAutospacing="0" w:line="324" w:lineRule="atLeast"/>
              <w:ind w:left="34"/>
            </w:pPr>
            <w:r>
              <w:t>0~45℃(Work)；-20~80℃(Storage)</w:t>
            </w:r>
          </w:p>
        </w:tc>
      </w:tr>
      <w:tr w14:paraId="0DCF3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695" w:type="dxa"/>
            <w:vMerge w:val="continue"/>
            <w:shd w:val="clear" w:color="auto" w:fill="auto"/>
            <w:vAlign w:val="center"/>
          </w:tcPr>
          <w:p w14:paraId="3BAD3AD5">
            <w:pPr>
              <w:jc w:val="left"/>
              <w:rPr>
                <w:rFonts w:ascii="宋体"/>
                <w:sz w:val="24"/>
                <w:szCs w:val="24"/>
              </w:rPr>
            </w:pPr>
          </w:p>
        </w:tc>
        <w:tc>
          <w:tcPr>
            <w:tcW w:w="3090" w:type="dxa"/>
            <w:shd w:val="clear" w:color="auto" w:fill="auto"/>
            <w:vAlign w:val="center"/>
          </w:tcPr>
          <w:p w14:paraId="07B4AAE7">
            <w:pPr>
              <w:pStyle w:val="6"/>
              <w:widowControl/>
              <w:spacing w:beforeAutospacing="0" w:afterAutospacing="0" w:line="324" w:lineRule="atLeast"/>
              <w:ind w:left="34"/>
            </w:pPr>
            <w:r>
              <w:t>Power Supply</w:t>
            </w:r>
          </w:p>
        </w:tc>
        <w:tc>
          <w:tcPr>
            <w:tcW w:w="4530" w:type="dxa"/>
            <w:shd w:val="clear" w:color="auto" w:fill="auto"/>
            <w:vAlign w:val="center"/>
          </w:tcPr>
          <w:p w14:paraId="2FD726F5">
            <w:pPr>
              <w:pStyle w:val="6"/>
              <w:widowControl/>
              <w:spacing w:beforeAutospacing="0" w:afterAutospacing="0" w:line="324" w:lineRule="atLeast"/>
              <w:ind w:left="34"/>
            </w:pPr>
            <w:r>
              <w:t>220VAC±10%，50Hz</w:t>
            </w:r>
          </w:p>
        </w:tc>
      </w:tr>
      <w:tr w14:paraId="6ED597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F1E940E">
            <w:pPr>
              <w:jc w:val="left"/>
              <w:rPr>
                <w:rFonts w:ascii="宋体"/>
                <w:sz w:val="24"/>
                <w:szCs w:val="24"/>
              </w:rPr>
            </w:pPr>
          </w:p>
        </w:tc>
        <w:tc>
          <w:tcPr>
            <w:tcW w:w="3090" w:type="dxa"/>
            <w:shd w:val="clear" w:color="auto" w:fill="auto"/>
            <w:vAlign w:val="center"/>
          </w:tcPr>
          <w:p w14:paraId="520EC0CE">
            <w:pPr>
              <w:pStyle w:val="6"/>
              <w:widowControl/>
              <w:spacing w:beforeAutospacing="0" w:afterAutospacing="0" w:line="324" w:lineRule="atLeast"/>
              <w:ind w:left="34"/>
            </w:pPr>
            <w:r>
              <w:t>Consumption</w:t>
            </w:r>
          </w:p>
        </w:tc>
        <w:tc>
          <w:tcPr>
            <w:tcW w:w="4530" w:type="dxa"/>
            <w:shd w:val="clear" w:color="auto" w:fill="auto"/>
            <w:vAlign w:val="center"/>
          </w:tcPr>
          <w:p w14:paraId="56A3FDD5">
            <w:pPr>
              <w:pStyle w:val="6"/>
              <w:widowControl/>
              <w:spacing w:beforeAutospacing="0" w:afterAutospacing="0" w:line="324" w:lineRule="atLeast"/>
              <w:ind w:left="34"/>
            </w:pPr>
            <w:r>
              <w:t>&lt;25W</w:t>
            </w:r>
          </w:p>
        </w:tc>
      </w:tr>
    </w:tbl>
    <w:p w14:paraId="41E6187D">
      <w:pPr>
        <w:pStyle w:val="6"/>
        <w:widowControl/>
        <w:spacing w:beforeAutospacing="0" w:afterAutospacing="0" w:line="324" w:lineRule="atLeast"/>
      </w:pPr>
      <w:r>
        <w:rPr>
          <w:rFonts w:ascii="Verdana" w:hAnsi="Verdana" w:cs="Verdana"/>
          <w:color w:val="333333"/>
          <w:sz w:val="18"/>
          <w:szCs w:val="18"/>
          <w:shd w:val="clear" w:color="auto" w:fill="FEFCFD"/>
        </w:rPr>
        <w:t> </w:t>
      </w:r>
    </w:p>
    <w:p w14:paraId="38B25310">
      <w:pPr>
        <w:widowControl/>
        <w:shd w:val="clear" w:color="auto" w:fill="F2F2F4"/>
        <w:jc w:val="left"/>
        <w:rPr>
          <w:rFonts w:ascii="Verdana" w:hAnsi="Verdana" w:cs="Verdana"/>
          <w:color w:val="333333"/>
          <w:sz w:val="18"/>
          <w:szCs w:val="18"/>
        </w:rPr>
      </w:pPr>
    </w:p>
    <w:p w14:paraId="04B369AA">
      <w:pPr>
        <w:rPr>
          <w:rFonts w:ascii="Verdana" w:hAnsi="Verdana" w:cs="Verdana"/>
          <w:color w:val="000000"/>
          <w:sz w:val="28"/>
        </w:rPr>
      </w:pPr>
    </w:p>
    <w:p w14:paraId="04581402">
      <w:pPr>
        <w:rPr>
          <w:rFonts w:ascii="Verdana" w:hAnsi="Verdana" w:cs="Verdana"/>
          <w:b/>
          <w:color w:val="000000"/>
          <w:sz w:val="22"/>
        </w:rPr>
      </w:pPr>
      <w:r>
        <w:rPr>
          <w:rFonts w:hint="eastAsia" w:ascii="Verdana" w:hAnsi="Verdana" w:cs="Verdana"/>
          <w:b/>
          <w:color w:val="000000"/>
          <w:sz w:val="22"/>
        </w:rPr>
        <w:t>About Us</w:t>
      </w:r>
    </w:p>
    <w:p w14:paraId="5E0B822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F363274">
      <w:pPr>
        <w:rPr>
          <w:rFonts w:ascii="Verdana" w:hAnsi="Verdana" w:cs="Verdana"/>
          <w:color w:val="000000"/>
          <w:sz w:val="18"/>
        </w:rPr>
      </w:pPr>
    </w:p>
    <w:p w14:paraId="206A815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4231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6F584D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87A0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0D4062"/>
    <w:rsid w:val="001D0C80"/>
    <w:rsid w:val="001E63E5"/>
    <w:rsid w:val="00215238"/>
    <w:rsid w:val="00227839"/>
    <w:rsid w:val="00270F98"/>
    <w:rsid w:val="00350F39"/>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B810C3"/>
    <w:rsid w:val="033D434A"/>
    <w:rsid w:val="080C6B94"/>
    <w:rsid w:val="0A680B1B"/>
    <w:rsid w:val="0E714EC9"/>
    <w:rsid w:val="0FC87CEA"/>
    <w:rsid w:val="101C4557"/>
    <w:rsid w:val="15C25510"/>
    <w:rsid w:val="18AE427D"/>
    <w:rsid w:val="18E81EA3"/>
    <w:rsid w:val="1B974A15"/>
    <w:rsid w:val="1CDC4CA0"/>
    <w:rsid w:val="1FCC39C5"/>
    <w:rsid w:val="20F61905"/>
    <w:rsid w:val="215073ED"/>
    <w:rsid w:val="2199682E"/>
    <w:rsid w:val="239E3C7B"/>
    <w:rsid w:val="27B55639"/>
    <w:rsid w:val="2A752F8B"/>
    <w:rsid w:val="2C665CEA"/>
    <w:rsid w:val="2E0F6BE8"/>
    <w:rsid w:val="314F3E41"/>
    <w:rsid w:val="3B533162"/>
    <w:rsid w:val="3CFE0B34"/>
    <w:rsid w:val="3D1731C6"/>
    <w:rsid w:val="44BD4937"/>
    <w:rsid w:val="45872050"/>
    <w:rsid w:val="478E224E"/>
    <w:rsid w:val="485E04E5"/>
    <w:rsid w:val="487316FE"/>
    <w:rsid w:val="49B75FAC"/>
    <w:rsid w:val="4A38258E"/>
    <w:rsid w:val="4E4A4BF6"/>
    <w:rsid w:val="4F8D25ED"/>
    <w:rsid w:val="51AD130D"/>
    <w:rsid w:val="540A3FAB"/>
    <w:rsid w:val="562E484B"/>
    <w:rsid w:val="56834992"/>
    <w:rsid w:val="576C7940"/>
    <w:rsid w:val="5930748A"/>
    <w:rsid w:val="59933671"/>
    <w:rsid w:val="5AA83521"/>
    <w:rsid w:val="5EEA5249"/>
    <w:rsid w:val="609213A6"/>
    <w:rsid w:val="61BA6334"/>
    <w:rsid w:val="63C27F07"/>
    <w:rsid w:val="68AD6386"/>
    <w:rsid w:val="68AF444B"/>
    <w:rsid w:val="69824E52"/>
    <w:rsid w:val="6CC261EF"/>
    <w:rsid w:val="6D7A6503"/>
    <w:rsid w:val="6E5D5007"/>
    <w:rsid w:val="70757613"/>
    <w:rsid w:val="70B756B4"/>
    <w:rsid w:val="73270F88"/>
    <w:rsid w:val="74455F31"/>
    <w:rsid w:val="752F0DD6"/>
    <w:rsid w:val="7540100C"/>
    <w:rsid w:val="77935A18"/>
    <w:rsid w:val="7B8E7427"/>
    <w:rsid w:val="7CD01522"/>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Decoder/DX3702/3EEECN_2017042109175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340</Words>
  <Characters>2025</Characters>
  <Lines>13</Lines>
  <Paragraphs>3</Paragraphs>
  <TotalTime>27</TotalTime>
  <ScaleCrop>false</ScaleCrop>
  <LinksUpToDate>false</LinksUpToDate>
  <CharactersWithSpaces>2337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2026-08-11T06:44:58Z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