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1C60DF">
      <w:pPr>
        <w:pStyle w:val="6"/>
        <w:widowControl/>
        <w:spacing w:beforeAutospacing="0" w:afterAutospacing="0" w:line="324" w:lineRule="atLeast"/>
        <w:jc w:val="center"/>
        <w:rPr>
          <w:rFonts w:ascii="Verdana" w:hAnsi="Verdana" w:cs="Verdana"/>
          <w:b/>
          <w:color w:val="000000"/>
          <w:sz w:val="28"/>
        </w:rPr>
      </w:pPr>
      <w:r>
        <w:rPr>
          <w:rFonts w:hint="eastAsia" w:ascii="Verdana" w:hAnsi="Verdana" w:cs="Verdana"/>
          <w:b/>
          <w:i w:val="0"/>
          <w:strike w:val="0"/>
          <w:color w:val="000000"/>
          <w:sz w:val="28"/>
          <w:lang w:eastAsia="zh-CN"/>
        </w:rPr>
        <w:t>FMUSER FUQ-3702 HD Decoder 2 IP &amp; 2 ASI Inputs 2 SDI Outputs MPEG-2 MPEG-4 AVC-H.264 AAC MPEG1 Layer2 IP-ASD Interfaces Web-Based Control for Professional Broadcast IPTV Systems</w:t>
      </w:r>
      <w:bookmarkStart w:id="0" w:name="_GoBack"/>
      <w:bookmarkEnd w:id="0"/>
    </w:p>
    <w:p w14:paraId="79CE91E9">
      <w:pPr>
        <w:pStyle w:val="6"/>
        <w:widowControl/>
        <w:spacing w:beforeAutospacing="0" w:afterAutospacing="0" w:line="324" w:lineRule="atLeast"/>
        <w:jc w:val="left"/>
      </w:pPr>
      <w:r>
        <w:rPr>
          <w:rFonts w:ascii="Verdana" w:hAnsi="Verdana" w:cs="Verdana"/>
          <w:color w:val="000000"/>
          <w:sz w:val="28"/>
        </w:rPr>
        <w:drawing>
          <wp:inline distT="0" distB="0" distL="114300" distR="114300">
            <wp:extent cx="6181725" cy="3400425"/>
            <wp:effectExtent l="0" t="0" r="9525" b="9525"/>
            <wp:docPr id="1" name="图片 1" descr="3EEECN_20190820070625"/>
            <wp:cNvGraphicFramePr/>
            <a:graphic xmlns:a="http://schemas.openxmlformats.org/drawingml/2006/main">
              <a:graphicData uri="http://schemas.openxmlformats.org/drawingml/2006/picture">
                <pic:pic xmlns:pic="http://schemas.openxmlformats.org/drawingml/2006/picture">
                  <pic:nvPicPr>
                    <pic:cNvPr id="1" name="图片 1" descr="3EEECN_20190820070625"/>
                    <pic:cNvPicPr/>
                  </pic:nvPicPr>
                  <pic:blipFill>
                    <a:blip r:embed="rId6"/>
                    <a:stretch>
                      <a:fillRect/>
                    </a:stretch>
                  </pic:blipFill>
                  <pic:spPr>
                    <a:xfrm>
                      <a:off x="0" y="0"/>
                      <a:ext cx="6181725" cy="3400425"/>
                    </a:xfrm>
                    <a:prstGeom prst="rect">
                      <a:avLst/>
                    </a:prstGeom>
                  </pic:spPr>
                </pic:pic>
              </a:graphicData>
            </a:graphic>
          </wp:inline>
        </w:drawing>
      </w:r>
      <w:r>
        <w:rPr>
          <w:rStyle w:val="10"/>
          <w:rFonts w:ascii="Verdana" w:hAnsi="Verdana" w:cs="Verdana"/>
          <w:color w:val="333333"/>
          <w:sz w:val="18"/>
          <w:szCs w:val="18"/>
          <w:shd w:val="clear" w:color="auto" w:fill="FEFCFD"/>
        </w:rPr>
        <w:t>Product Overview</w:t>
      </w:r>
    </w:p>
    <w:p w14:paraId="3AB4035A">
      <w:pPr>
        <w:pStyle w:val="6"/>
        <w:widowControl/>
        <w:spacing w:beforeAutospacing="0" w:afterAutospacing="0" w:line="324" w:lineRule="atLeast"/>
      </w:pPr>
      <w:r>
        <w:rPr>
          <w:rFonts w:hint="eastAsia" w:ascii="Verdana" w:hAnsi="Verdana" w:cs="Verdana"/>
          <w:color w:val="333333"/>
          <w:sz w:val="18"/>
          <w:szCs w:val="18"/>
          <w:shd w:val="clear" w:color="auto" w:fill="FEFCFD"/>
          <w:lang w:eastAsia="zh-CN"/>
        </w:rPr>
        <w:t>The FUQ-3702 is an HD decoder supporting IP and ASI inputs with dual HD/SD-SDI outputs. It decodes signals to output high-quality video and audio. Features web-based management for remote control. Ideal for broadcast systems and professional video distribution.</w:t>
      </w:r>
      <w:r>
        <w:rPr>
          <w:rFonts w:ascii="Verdana" w:hAnsi="Verdana" w:cs="Verdana"/>
          <w:color w:val="333333"/>
          <w:sz w:val="18"/>
          <w:szCs w:val="18"/>
          <w:shd w:val="clear" w:color="auto" w:fill="FEFCFD"/>
        </w:rPr>
        <w:t>It is a 1-U case supporting both IP and ASI input. After decoding process, it outputs 2 channels of HD/SD-SDI videos with dual stereo audios embedded in each port. It also supports 1 IP (MPTS) output and featured with dual bi-directional ASI ports for input and output alternatively.</w:t>
      </w:r>
    </w:p>
    <w:p w14:paraId="1A5C40EC">
      <w:pPr>
        <w:pStyle w:val="6"/>
        <w:widowControl/>
        <w:spacing w:beforeAutospacing="0" w:afterAutospacing="0" w:line="324" w:lineRule="atLeast"/>
        <w:ind w:left="568"/>
      </w:pPr>
      <w:r>
        <w:rPr>
          <w:rFonts w:ascii="Verdana" w:hAnsi="Verdana" w:cs="Verdana"/>
          <w:color w:val="333333"/>
          <w:sz w:val="18"/>
          <w:szCs w:val="18"/>
          <w:shd w:val="clear" w:color="auto" w:fill="FEFCFD"/>
        </w:rPr>
        <w:t> </w:t>
      </w:r>
    </w:p>
    <w:p w14:paraId="596A9352">
      <w:pPr>
        <w:pStyle w:val="6"/>
        <w:widowControl/>
        <w:spacing w:beforeAutospacing="0" w:afterAutospacing="0" w:line="324" w:lineRule="atLeast"/>
        <w:rPr>
          <w:rFonts w:hint="eastAsia" w:eastAsiaTheme="minorEastAsia"/>
          <w:lang w:eastAsia="zh-CN"/>
        </w:rPr>
      </w:pPr>
      <w:r>
        <w:rPr>
          <w:rStyle w:val="10"/>
          <w:rFonts w:hint="eastAsia" w:ascii="Verdana" w:hAnsi="Verdana" w:cs="Verdana"/>
          <w:color w:val="333333"/>
          <w:sz w:val="18"/>
          <w:szCs w:val="18"/>
          <w:shd w:val="clear" w:color="auto" w:fill="FEFCFD"/>
          <w:lang w:eastAsia="zh-CN"/>
        </w:rPr>
        <w:t>Key feature</w:t>
      </w:r>
    </w:p>
    <w:p w14:paraId="48A99D60">
      <w:pPr>
        <w:pStyle w:val="6"/>
        <w:widowControl/>
        <w:spacing w:beforeAutospacing="0" w:afterAutospacing="0" w:line="324" w:lineRule="atLeas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xml:space="preserve">Features dual IP inputs and single IP output handling MPTS/SPTS over UDP.,  </w:t>
      </w:r>
    </w:p>
    <w:p w14:paraId="5DD2CBA7">
      <w:pPr>
        <w:pStyle w:val="6"/>
        <w:widowControl/>
        <w:spacing w:beforeAutospacing="0" w:afterAutospacing="0" w:line="324" w:lineRule="atLeas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xml:space="preserve">Includes bi-directional ASI ports for flexible input/output switching.,  </w:t>
      </w:r>
    </w:p>
    <w:p w14:paraId="5CB1FDA8">
      <w:pPr>
        <w:pStyle w:val="6"/>
        <w:widowControl/>
        <w:spacing w:beforeAutospacing="0" w:afterAutospacing="0" w:line="324" w:lineRule="atLeas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xml:space="preserve">Outputs dual HD/SD-SDI channels with embedded stereo audio.,  </w:t>
      </w:r>
    </w:p>
    <w:p w14:paraId="100C3BCE">
      <w:pPr>
        <w:pStyle w:val="6"/>
        <w:widowControl/>
        <w:spacing w:beforeAutospacing="0" w:afterAutospacing="0" w:line="324" w:lineRule="atLeas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xml:space="preserve">Supports MPEG-2, MPEG-4 AVC/H.264 video, and CC/Subtitle.,  </w:t>
      </w:r>
    </w:p>
    <w:p w14:paraId="33D2AA14">
      <w:pPr>
        <w:pStyle w:val="6"/>
        <w:widowControl/>
        <w:spacing w:beforeAutospacing="0" w:afterAutospacing="0" w:line="324" w:lineRule="atLeast"/>
      </w:pPr>
      <w:r>
        <w:rPr>
          <w:rFonts w:hint="eastAsia" w:ascii="Verdana" w:hAnsi="Verdana" w:cs="Verdana"/>
          <w:color w:val="333333"/>
          <w:sz w:val="18"/>
          <w:szCs w:val="18"/>
          <w:shd w:val="clear" w:color="auto" w:fill="FEFCFD"/>
        </w:rPr>
        <w:t>Enables web-based management via web server for easy operation.</w:t>
      </w:r>
      <w:r>
        <w:rPr>
          <w:rFonts w:ascii="Verdana" w:hAnsi="Verdana" w:cs="Verdana"/>
          <w:color w:val="333333"/>
          <w:sz w:val="18"/>
          <w:szCs w:val="18"/>
          <w:shd w:val="clear" w:color="auto" w:fill="FEFCFD"/>
        </w:rPr>
        <w:t> </w:t>
      </w:r>
    </w:p>
    <w:p w14:paraId="34A72B8B">
      <w:pPr>
        <w:pStyle w:val="6"/>
        <w:widowControl/>
        <w:spacing w:beforeAutospacing="0" w:afterAutospacing="0" w:line="324" w:lineRule="atLeast"/>
      </w:pPr>
      <w:r>
        <w:rPr>
          <w:rStyle w:val="10"/>
          <w:rFonts w:ascii="Verdana" w:hAnsi="Verdana" w:cs="Verdana"/>
          <w:color w:val="333333"/>
          <w:sz w:val="18"/>
          <w:szCs w:val="18"/>
          <w:shd w:val="clear" w:color="auto" w:fill="FEFCFD"/>
        </w:rPr>
        <w:t>Principle Chart</w:t>
      </w:r>
    </w:p>
    <w:p w14:paraId="6E991A79">
      <w:pPr>
        <w:pStyle w:val="6"/>
        <w:widowControl/>
        <w:spacing w:beforeAutospacing="0" w:afterAutospacing="0" w:line="324" w:lineRule="atLeast"/>
        <w:jc w:val="center"/>
      </w:pPr>
      <w:r>
        <w:rPr>
          <w:rFonts w:ascii="Verdana" w:hAnsi="Verdana" w:cs="Verdana"/>
          <w:color w:val="333333"/>
          <w:sz w:val="18"/>
          <w:szCs w:val="18"/>
          <w:shd w:val="clear" w:color="auto" w:fill="FEFCFD"/>
        </w:rPr>
        <w:drawing>
          <wp:inline distT="0" distB="0" distL="114300" distR="114300">
            <wp:extent cx="6180455" cy="2887345"/>
            <wp:effectExtent l="0" t="0" r="10795" b="8255"/>
            <wp:docPr id="2" name="图片 1" descr="IMG_256">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8"/>
                    <a:stretch>
                      <a:fillRect/>
                    </a:stretch>
                  </pic:blipFill>
                  <pic:spPr>
                    <a:xfrm>
                      <a:off x="0" y="0"/>
                      <a:ext cx="6180455" cy="2887345"/>
                    </a:xfrm>
                    <a:prstGeom prst="rect">
                      <a:avLst/>
                    </a:prstGeom>
                    <a:noFill/>
                    <a:ln w="9525">
                      <a:noFill/>
                    </a:ln>
                  </pic:spPr>
                </pic:pic>
              </a:graphicData>
            </a:graphic>
          </wp:inline>
        </w:drawing>
      </w:r>
    </w:p>
    <w:p w14:paraId="0449ABBF">
      <w:pPr>
        <w:pStyle w:val="6"/>
        <w:widowControl/>
        <w:spacing w:beforeAutospacing="0" w:afterAutospacing="0" w:line="324" w:lineRule="atLeast"/>
        <w:ind w:left="-142"/>
      </w:pPr>
      <w:r>
        <w:rPr>
          <w:rStyle w:val="10"/>
          <w:rFonts w:ascii="Verdana" w:hAnsi="Verdana" w:cs="Verdana"/>
          <w:color w:val="333333"/>
          <w:sz w:val="18"/>
          <w:szCs w:val="18"/>
          <w:shd w:val="clear" w:color="auto" w:fill="FEFCFD"/>
        </w:rPr>
        <w:t>  Specification</w:t>
      </w:r>
    </w:p>
    <w:p w14:paraId="52B0EC3D">
      <w:pPr>
        <w:pStyle w:val="6"/>
        <w:widowControl/>
        <w:spacing w:beforeAutospacing="0" w:afterAutospacing="0" w:line="324" w:lineRule="atLeast"/>
      </w:pPr>
      <w:r>
        <w:rPr>
          <w:rFonts w:ascii="Verdana" w:hAnsi="Verdana" w:cs="Verdana"/>
          <w:color w:val="333333"/>
          <w:sz w:val="18"/>
          <w:szCs w:val="18"/>
          <w:shd w:val="clear" w:color="auto" w:fill="FEFCFD"/>
        </w:rPr>
        <w:t> </w:t>
      </w:r>
    </w:p>
    <w:tbl>
      <w:tblPr>
        <w:tblStyle w:val="7"/>
        <w:tblW w:w="9315"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1695"/>
        <w:gridCol w:w="3090"/>
        <w:gridCol w:w="4530"/>
      </w:tblGrid>
      <w:tr w14:paraId="167CCDC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525" w:hRule="atLeast"/>
          <w:tblCellSpacing w:w="0" w:type="dxa"/>
        </w:trPr>
        <w:tc>
          <w:tcPr>
            <w:tcW w:w="1695" w:type="dxa"/>
            <w:vMerge w:val="restart"/>
            <w:shd w:val="clear" w:color="auto" w:fill="auto"/>
            <w:vAlign w:val="center"/>
          </w:tcPr>
          <w:p w14:paraId="58792ED6">
            <w:pPr>
              <w:pStyle w:val="6"/>
              <w:widowControl/>
              <w:spacing w:beforeAutospacing="0" w:afterAutospacing="0" w:line="324" w:lineRule="atLeast"/>
              <w:ind w:left="34"/>
            </w:pPr>
            <w:r>
              <w:t>Input</w:t>
            </w:r>
          </w:p>
        </w:tc>
        <w:tc>
          <w:tcPr>
            <w:tcW w:w="7620" w:type="dxa"/>
            <w:gridSpan w:val="2"/>
            <w:shd w:val="clear" w:color="auto" w:fill="auto"/>
            <w:vAlign w:val="center"/>
          </w:tcPr>
          <w:p w14:paraId="078FB016">
            <w:pPr>
              <w:pStyle w:val="6"/>
              <w:widowControl/>
              <w:spacing w:beforeAutospacing="0" w:afterAutospacing="0" w:line="324" w:lineRule="atLeast"/>
            </w:pPr>
            <w:r>
              <w:t>2 IP (MPTS/SPTS, 100M/1000Mbps Ethernet, RJ45, UDP protocol, Unicast/multicast)</w:t>
            </w:r>
          </w:p>
        </w:tc>
      </w:tr>
      <w:tr w14:paraId="3F51D73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11" w:hRule="atLeast"/>
          <w:tblCellSpacing w:w="0" w:type="dxa"/>
        </w:trPr>
        <w:tc>
          <w:tcPr>
            <w:tcW w:w="1695" w:type="dxa"/>
            <w:vMerge w:val="continue"/>
            <w:shd w:val="clear" w:color="auto" w:fill="auto"/>
            <w:vAlign w:val="center"/>
          </w:tcPr>
          <w:p w14:paraId="2A001666">
            <w:pPr>
              <w:jc w:val="left"/>
              <w:rPr>
                <w:rFonts w:ascii="宋体"/>
                <w:sz w:val="24"/>
                <w:szCs w:val="24"/>
              </w:rPr>
            </w:pPr>
          </w:p>
        </w:tc>
        <w:tc>
          <w:tcPr>
            <w:tcW w:w="7620" w:type="dxa"/>
            <w:gridSpan w:val="2"/>
            <w:shd w:val="clear" w:color="auto" w:fill="auto"/>
            <w:vAlign w:val="center"/>
          </w:tcPr>
          <w:p w14:paraId="1BADA833">
            <w:pPr>
              <w:pStyle w:val="6"/>
              <w:widowControl/>
              <w:spacing w:beforeAutospacing="0" w:afterAutospacing="0" w:line="324" w:lineRule="atLeast"/>
            </w:pPr>
            <w:r>
              <w:t>2* ASI bi-direction, BNC 75Ω</w:t>
            </w:r>
          </w:p>
        </w:tc>
      </w:tr>
      <w:tr w14:paraId="7568B0C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60" w:hRule="atLeast"/>
          <w:tblCellSpacing w:w="0" w:type="dxa"/>
        </w:trPr>
        <w:tc>
          <w:tcPr>
            <w:tcW w:w="1695" w:type="dxa"/>
            <w:vMerge w:val="restart"/>
            <w:shd w:val="clear" w:color="auto" w:fill="auto"/>
            <w:vAlign w:val="center"/>
          </w:tcPr>
          <w:p w14:paraId="67886E6E">
            <w:pPr>
              <w:pStyle w:val="6"/>
              <w:widowControl/>
              <w:spacing w:beforeAutospacing="0" w:afterAutospacing="0" w:line="324" w:lineRule="atLeast"/>
              <w:ind w:left="34"/>
            </w:pPr>
            <w:r>
              <w:t>Decode</w:t>
            </w:r>
          </w:p>
        </w:tc>
        <w:tc>
          <w:tcPr>
            <w:tcW w:w="3090" w:type="dxa"/>
            <w:shd w:val="clear" w:color="auto" w:fill="auto"/>
            <w:vAlign w:val="center"/>
          </w:tcPr>
          <w:p w14:paraId="62A203EF">
            <w:pPr>
              <w:pStyle w:val="6"/>
              <w:widowControl/>
              <w:spacing w:beforeAutospacing="0" w:afterAutospacing="0" w:line="324" w:lineRule="atLeast"/>
              <w:ind w:left="34"/>
            </w:pPr>
            <w:r>
              <w:t>Video Format</w:t>
            </w:r>
          </w:p>
        </w:tc>
        <w:tc>
          <w:tcPr>
            <w:tcW w:w="4530" w:type="dxa"/>
            <w:shd w:val="clear" w:color="auto" w:fill="auto"/>
            <w:vAlign w:val="center"/>
          </w:tcPr>
          <w:p w14:paraId="1A0E8529">
            <w:pPr>
              <w:pStyle w:val="6"/>
              <w:widowControl/>
              <w:spacing w:beforeAutospacing="0" w:afterAutospacing="0" w:line="324" w:lineRule="atLeast"/>
              <w:ind w:left="34"/>
            </w:pPr>
            <w:r>
              <w:t>MPEG-2, MPEG4 AVC/H.264</w:t>
            </w:r>
          </w:p>
        </w:tc>
      </w:tr>
      <w:tr w14:paraId="1FC9819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41" w:hRule="atLeast"/>
          <w:tblCellSpacing w:w="0" w:type="dxa"/>
        </w:trPr>
        <w:tc>
          <w:tcPr>
            <w:tcW w:w="1695" w:type="dxa"/>
            <w:vMerge w:val="continue"/>
            <w:shd w:val="clear" w:color="auto" w:fill="auto"/>
            <w:vAlign w:val="center"/>
          </w:tcPr>
          <w:p w14:paraId="48CE9100">
            <w:pPr>
              <w:jc w:val="left"/>
              <w:rPr>
                <w:rFonts w:ascii="宋体"/>
                <w:sz w:val="24"/>
                <w:szCs w:val="24"/>
              </w:rPr>
            </w:pPr>
          </w:p>
        </w:tc>
        <w:tc>
          <w:tcPr>
            <w:tcW w:w="3090" w:type="dxa"/>
            <w:shd w:val="clear" w:color="auto" w:fill="auto"/>
            <w:vAlign w:val="center"/>
          </w:tcPr>
          <w:p w14:paraId="7C41BF1A">
            <w:pPr>
              <w:pStyle w:val="6"/>
              <w:widowControl/>
              <w:spacing w:beforeAutospacing="0" w:afterAutospacing="0" w:line="324" w:lineRule="atLeast"/>
              <w:ind w:left="34"/>
            </w:pPr>
            <w:r>
              <w:t>Interface</w:t>
            </w:r>
          </w:p>
        </w:tc>
        <w:tc>
          <w:tcPr>
            <w:tcW w:w="4530" w:type="dxa"/>
            <w:shd w:val="clear" w:color="auto" w:fill="auto"/>
            <w:vAlign w:val="center"/>
          </w:tcPr>
          <w:p w14:paraId="697963A0">
            <w:pPr>
              <w:pStyle w:val="6"/>
              <w:widowControl/>
              <w:spacing w:beforeAutospacing="0" w:afterAutospacing="0" w:line="324" w:lineRule="atLeast"/>
              <w:ind w:left="34"/>
            </w:pPr>
            <w:r>
              <w:t>2* SDI HD/SD</w:t>
            </w:r>
          </w:p>
        </w:tc>
      </w:tr>
      <w:tr w14:paraId="0F44698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60" w:hRule="atLeast"/>
          <w:tblCellSpacing w:w="0" w:type="dxa"/>
        </w:trPr>
        <w:tc>
          <w:tcPr>
            <w:tcW w:w="1695" w:type="dxa"/>
            <w:vMerge w:val="continue"/>
            <w:shd w:val="clear" w:color="auto" w:fill="auto"/>
            <w:vAlign w:val="center"/>
          </w:tcPr>
          <w:p w14:paraId="646631C7">
            <w:pPr>
              <w:jc w:val="left"/>
              <w:rPr>
                <w:rFonts w:ascii="宋体"/>
                <w:sz w:val="24"/>
                <w:szCs w:val="24"/>
              </w:rPr>
            </w:pPr>
          </w:p>
        </w:tc>
        <w:tc>
          <w:tcPr>
            <w:tcW w:w="3090" w:type="dxa"/>
            <w:shd w:val="clear" w:color="auto" w:fill="auto"/>
            <w:vAlign w:val="center"/>
          </w:tcPr>
          <w:p w14:paraId="42986627">
            <w:pPr>
              <w:pStyle w:val="6"/>
              <w:widowControl/>
              <w:spacing w:beforeAutospacing="0" w:afterAutospacing="0" w:line="324" w:lineRule="atLeast"/>
              <w:ind w:left="34"/>
            </w:pPr>
            <w:r>
              <w:t>Video Resolution</w:t>
            </w:r>
          </w:p>
        </w:tc>
        <w:tc>
          <w:tcPr>
            <w:tcW w:w="4530" w:type="dxa"/>
            <w:shd w:val="clear" w:color="auto" w:fill="auto"/>
            <w:vAlign w:val="center"/>
          </w:tcPr>
          <w:p w14:paraId="24E0A4CC">
            <w:pPr>
              <w:pStyle w:val="6"/>
              <w:widowControl/>
              <w:spacing w:beforeAutospacing="0" w:afterAutospacing="0" w:line="324" w:lineRule="atLeast"/>
              <w:ind w:left="34"/>
            </w:pPr>
            <w:r>
              <w:t>480i, 480p, 576i, 576p, 720p@50/59.94/60, 1080i@50/59.94/60</w:t>
            </w:r>
          </w:p>
        </w:tc>
      </w:tr>
      <w:tr w14:paraId="1BBBF17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60" w:hRule="atLeast"/>
          <w:tblCellSpacing w:w="0" w:type="dxa"/>
        </w:trPr>
        <w:tc>
          <w:tcPr>
            <w:tcW w:w="1695" w:type="dxa"/>
            <w:vMerge w:val="continue"/>
            <w:shd w:val="clear" w:color="auto" w:fill="auto"/>
            <w:vAlign w:val="center"/>
          </w:tcPr>
          <w:p w14:paraId="75FE73FF">
            <w:pPr>
              <w:jc w:val="left"/>
              <w:rPr>
                <w:rFonts w:ascii="宋体"/>
                <w:sz w:val="24"/>
                <w:szCs w:val="24"/>
              </w:rPr>
            </w:pPr>
          </w:p>
        </w:tc>
        <w:tc>
          <w:tcPr>
            <w:tcW w:w="3090" w:type="dxa"/>
            <w:shd w:val="clear" w:color="auto" w:fill="auto"/>
            <w:vAlign w:val="center"/>
          </w:tcPr>
          <w:p w14:paraId="5DF693D0">
            <w:pPr>
              <w:pStyle w:val="6"/>
              <w:widowControl/>
              <w:spacing w:beforeAutospacing="0" w:afterAutospacing="0" w:line="324" w:lineRule="atLeast"/>
              <w:ind w:left="34"/>
            </w:pPr>
            <w:r>
              <w:t>Audio Format</w:t>
            </w:r>
          </w:p>
        </w:tc>
        <w:tc>
          <w:tcPr>
            <w:tcW w:w="4530" w:type="dxa"/>
            <w:shd w:val="clear" w:color="auto" w:fill="auto"/>
            <w:vAlign w:val="center"/>
          </w:tcPr>
          <w:p w14:paraId="7BD85184">
            <w:pPr>
              <w:pStyle w:val="6"/>
              <w:widowControl/>
              <w:spacing w:beforeAutospacing="0" w:afterAutospacing="0" w:line="324" w:lineRule="atLeast"/>
              <w:ind w:left="34"/>
            </w:pPr>
            <w:r>
              <w:t>MPEG1 Layer2, LC-AAC, HE-AAC, AC3 Passthrough</w:t>
            </w:r>
          </w:p>
        </w:tc>
      </w:tr>
      <w:tr w14:paraId="7F93EA5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41" w:hRule="atLeast"/>
          <w:tblCellSpacing w:w="0" w:type="dxa"/>
        </w:trPr>
        <w:tc>
          <w:tcPr>
            <w:tcW w:w="1695" w:type="dxa"/>
            <w:vMerge w:val="continue"/>
            <w:shd w:val="clear" w:color="auto" w:fill="auto"/>
            <w:vAlign w:val="center"/>
          </w:tcPr>
          <w:p w14:paraId="49A72A85">
            <w:pPr>
              <w:jc w:val="left"/>
              <w:rPr>
                <w:rFonts w:ascii="宋体"/>
                <w:sz w:val="24"/>
                <w:szCs w:val="24"/>
              </w:rPr>
            </w:pPr>
          </w:p>
        </w:tc>
        <w:tc>
          <w:tcPr>
            <w:tcW w:w="3090" w:type="dxa"/>
            <w:shd w:val="clear" w:color="auto" w:fill="auto"/>
            <w:vAlign w:val="center"/>
          </w:tcPr>
          <w:p w14:paraId="04FAE0F7">
            <w:pPr>
              <w:pStyle w:val="6"/>
              <w:widowControl/>
              <w:spacing w:beforeAutospacing="0" w:afterAutospacing="0" w:line="324" w:lineRule="atLeast"/>
              <w:ind w:left="34"/>
            </w:pPr>
            <w:r>
              <w:t>Audio Channel</w:t>
            </w:r>
          </w:p>
        </w:tc>
        <w:tc>
          <w:tcPr>
            <w:tcW w:w="4530" w:type="dxa"/>
            <w:shd w:val="clear" w:color="auto" w:fill="auto"/>
            <w:vAlign w:val="center"/>
          </w:tcPr>
          <w:p w14:paraId="3E7B45FB">
            <w:pPr>
              <w:pStyle w:val="6"/>
              <w:widowControl/>
              <w:spacing w:beforeAutospacing="0" w:afterAutospacing="0" w:line="324" w:lineRule="atLeast"/>
              <w:ind w:left="34"/>
            </w:pPr>
            <w:r>
              <w:rPr>
                <w:color w:val="FF0000"/>
              </w:rPr>
              <w:t>dual stereo audios embedded in each port</w:t>
            </w:r>
          </w:p>
        </w:tc>
      </w:tr>
      <w:tr w14:paraId="43CEB5C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41" w:hRule="atLeast"/>
          <w:tblCellSpacing w:w="0" w:type="dxa"/>
        </w:trPr>
        <w:tc>
          <w:tcPr>
            <w:tcW w:w="1695" w:type="dxa"/>
            <w:vMerge w:val="restart"/>
            <w:shd w:val="clear" w:color="auto" w:fill="auto"/>
            <w:vAlign w:val="center"/>
          </w:tcPr>
          <w:p w14:paraId="3CC7052D">
            <w:pPr>
              <w:pStyle w:val="6"/>
              <w:widowControl/>
              <w:spacing w:beforeAutospacing="0" w:afterAutospacing="0" w:line="324" w:lineRule="atLeast"/>
              <w:ind w:left="34"/>
            </w:pPr>
            <w:r>
              <w:t>Output</w:t>
            </w:r>
          </w:p>
        </w:tc>
        <w:tc>
          <w:tcPr>
            <w:tcW w:w="7620" w:type="dxa"/>
            <w:gridSpan w:val="2"/>
            <w:shd w:val="clear" w:color="auto" w:fill="auto"/>
            <w:vAlign w:val="center"/>
          </w:tcPr>
          <w:p w14:paraId="4D1F053A">
            <w:pPr>
              <w:pStyle w:val="6"/>
              <w:widowControl/>
              <w:spacing w:beforeAutospacing="0" w:afterAutospacing="0" w:line="324" w:lineRule="atLeast"/>
              <w:ind w:left="34"/>
            </w:pPr>
            <w:r>
              <w:t>2*HD/SD-SDI decoding out</w:t>
            </w:r>
          </w:p>
        </w:tc>
      </w:tr>
      <w:tr w14:paraId="29D7385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41" w:hRule="atLeast"/>
          <w:tblCellSpacing w:w="0" w:type="dxa"/>
        </w:trPr>
        <w:tc>
          <w:tcPr>
            <w:tcW w:w="1695" w:type="dxa"/>
            <w:vMerge w:val="continue"/>
            <w:shd w:val="clear" w:color="auto" w:fill="auto"/>
            <w:vAlign w:val="center"/>
          </w:tcPr>
          <w:p w14:paraId="59F884A2">
            <w:pPr>
              <w:jc w:val="left"/>
              <w:rPr>
                <w:rFonts w:ascii="宋体"/>
                <w:sz w:val="24"/>
                <w:szCs w:val="24"/>
              </w:rPr>
            </w:pPr>
          </w:p>
        </w:tc>
        <w:tc>
          <w:tcPr>
            <w:tcW w:w="7620" w:type="dxa"/>
            <w:gridSpan w:val="2"/>
            <w:shd w:val="clear" w:color="auto" w:fill="auto"/>
            <w:vAlign w:val="center"/>
          </w:tcPr>
          <w:p w14:paraId="4E9626D0">
            <w:pPr>
              <w:pStyle w:val="6"/>
              <w:widowControl/>
              <w:spacing w:beforeAutospacing="0" w:afterAutospacing="0" w:line="324" w:lineRule="atLeast"/>
              <w:ind w:left="34"/>
            </w:pPr>
            <w:r>
              <w:t>0-2 ASI output</w:t>
            </w:r>
          </w:p>
        </w:tc>
      </w:tr>
      <w:tr w14:paraId="545E7DA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41" w:hRule="atLeast"/>
          <w:tblCellSpacing w:w="0" w:type="dxa"/>
        </w:trPr>
        <w:tc>
          <w:tcPr>
            <w:tcW w:w="1695" w:type="dxa"/>
            <w:vMerge w:val="continue"/>
            <w:shd w:val="clear" w:color="auto" w:fill="auto"/>
            <w:vAlign w:val="center"/>
          </w:tcPr>
          <w:p w14:paraId="11AFB216">
            <w:pPr>
              <w:jc w:val="left"/>
              <w:rPr>
                <w:rFonts w:ascii="宋体"/>
                <w:sz w:val="24"/>
                <w:szCs w:val="24"/>
              </w:rPr>
            </w:pPr>
          </w:p>
        </w:tc>
        <w:tc>
          <w:tcPr>
            <w:tcW w:w="7620" w:type="dxa"/>
            <w:gridSpan w:val="2"/>
            <w:shd w:val="clear" w:color="auto" w:fill="auto"/>
            <w:vAlign w:val="center"/>
          </w:tcPr>
          <w:p w14:paraId="78B17484">
            <w:pPr>
              <w:pStyle w:val="6"/>
              <w:widowControl/>
              <w:spacing w:beforeAutospacing="0" w:afterAutospacing="0" w:line="324" w:lineRule="atLeast"/>
              <w:ind w:left="34"/>
            </w:pPr>
            <w:r>
              <w:t>1 IP output over UDP protocol</w:t>
            </w:r>
          </w:p>
        </w:tc>
      </w:tr>
      <w:tr w14:paraId="505A556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96" w:hRule="atLeast"/>
          <w:tblCellSpacing w:w="0" w:type="dxa"/>
        </w:trPr>
        <w:tc>
          <w:tcPr>
            <w:tcW w:w="1695" w:type="dxa"/>
            <w:vMerge w:val="restart"/>
            <w:shd w:val="clear" w:color="auto" w:fill="auto"/>
            <w:vAlign w:val="center"/>
          </w:tcPr>
          <w:p w14:paraId="365B15DB">
            <w:pPr>
              <w:pStyle w:val="6"/>
              <w:widowControl/>
              <w:spacing w:beforeAutospacing="0" w:afterAutospacing="0" w:line="324" w:lineRule="atLeast"/>
              <w:ind w:left="34"/>
            </w:pPr>
            <w:r>
              <w:t>General</w:t>
            </w:r>
          </w:p>
        </w:tc>
        <w:tc>
          <w:tcPr>
            <w:tcW w:w="3090" w:type="dxa"/>
            <w:shd w:val="clear" w:color="auto" w:fill="auto"/>
            <w:vAlign w:val="center"/>
          </w:tcPr>
          <w:p w14:paraId="2E3DA04D">
            <w:pPr>
              <w:pStyle w:val="6"/>
              <w:widowControl/>
              <w:spacing w:beforeAutospacing="0" w:afterAutospacing="0" w:line="324" w:lineRule="atLeast"/>
              <w:ind w:left="34"/>
            </w:pPr>
            <w:r>
              <w:t>Operation</w:t>
            </w:r>
          </w:p>
        </w:tc>
        <w:tc>
          <w:tcPr>
            <w:tcW w:w="4530" w:type="dxa"/>
            <w:shd w:val="clear" w:color="auto" w:fill="auto"/>
            <w:vAlign w:val="center"/>
          </w:tcPr>
          <w:p w14:paraId="5742D45A">
            <w:pPr>
              <w:pStyle w:val="6"/>
              <w:widowControl/>
              <w:spacing w:beforeAutospacing="0" w:afterAutospacing="0" w:line="324" w:lineRule="atLeast"/>
              <w:ind w:left="34"/>
            </w:pPr>
            <w:r>
              <w:t>Web-server</w:t>
            </w:r>
          </w:p>
        </w:tc>
      </w:tr>
      <w:tr w14:paraId="7C2173F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71" w:hRule="atLeast"/>
          <w:tblCellSpacing w:w="0" w:type="dxa"/>
        </w:trPr>
        <w:tc>
          <w:tcPr>
            <w:tcW w:w="1695" w:type="dxa"/>
            <w:vMerge w:val="continue"/>
            <w:shd w:val="clear" w:color="auto" w:fill="auto"/>
            <w:vAlign w:val="center"/>
          </w:tcPr>
          <w:p w14:paraId="7AFD30D6">
            <w:pPr>
              <w:jc w:val="left"/>
              <w:rPr>
                <w:rFonts w:ascii="宋体"/>
                <w:sz w:val="24"/>
                <w:szCs w:val="24"/>
              </w:rPr>
            </w:pPr>
          </w:p>
        </w:tc>
        <w:tc>
          <w:tcPr>
            <w:tcW w:w="3090" w:type="dxa"/>
            <w:shd w:val="clear" w:color="auto" w:fill="auto"/>
            <w:vAlign w:val="center"/>
          </w:tcPr>
          <w:p w14:paraId="18F98DDE">
            <w:pPr>
              <w:pStyle w:val="6"/>
              <w:widowControl/>
              <w:spacing w:beforeAutospacing="0" w:afterAutospacing="0" w:line="324" w:lineRule="atLeast"/>
              <w:ind w:left="34"/>
            </w:pPr>
            <w:r>
              <w:t>Language</w:t>
            </w:r>
          </w:p>
        </w:tc>
        <w:tc>
          <w:tcPr>
            <w:tcW w:w="4530" w:type="dxa"/>
            <w:shd w:val="clear" w:color="auto" w:fill="auto"/>
            <w:vAlign w:val="center"/>
          </w:tcPr>
          <w:p w14:paraId="2319CCEC">
            <w:pPr>
              <w:pStyle w:val="6"/>
              <w:widowControl/>
              <w:spacing w:beforeAutospacing="0" w:afterAutospacing="0" w:line="324" w:lineRule="atLeast"/>
              <w:ind w:left="34"/>
            </w:pPr>
            <w:r>
              <w:t>Chinese/English</w:t>
            </w:r>
          </w:p>
        </w:tc>
      </w:tr>
      <w:tr w14:paraId="01D8354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695" w:type="dxa"/>
            <w:vMerge w:val="continue"/>
            <w:shd w:val="clear" w:color="auto" w:fill="auto"/>
            <w:vAlign w:val="center"/>
          </w:tcPr>
          <w:p w14:paraId="75A14BAA">
            <w:pPr>
              <w:jc w:val="left"/>
              <w:rPr>
                <w:rFonts w:ascii="宋体"/>
                <w:sz w:val="24"/>
                <w:szCs w:val="24"/>
              </w:rPr>
            </w:pPr>
          </w:p>
        </w:tc>
        <w:tc>
          <w:tcPr>
            <w:tcW w:w="3090" w:type="dxa"/>
            <w:shd w:val="clear" w:color="auto" w:fill="auto"/>
            <w:vAlign w:val="center"/>
          </w:tcPr>
          <w:p w14:paraId="2D731DB4">
            <w:pPr>
              <w:pStyle w:val="6"/>
              <w:widowControl/>
              <w:spacing w:beforeAutospacing="0" w:afterAutospacing="0" w:line="324" w:lineRule="atLeast"/>
              <w:ind w:left="34"/>
            </w:pPr>
            <w:r>
              <w:t>Dimension (LxWxH)</w:t>
            </w:r>
          </w:p>
        </w:tc>
        <w:tc>
          <w:tcPr>
            <w:tcW w:w="4530" w:type="dxa"/>
            <w:shd w:val="clear" w:color="auto" w:fill="auto"/>
            <w:vAlign w:val="center"/>
          </w:tcPr>
          <w:p w14:paraId="0D651279">
            <w:pPr>
              <w:pStyle w:val="6"/>
              <w:widowControl/>
              <w:spacing w:beforeAutospacing="0" w:afterAutospacing="0" w:line="324" w:lineRule="atLeast"/>
              <w:ind w:left="34"/>
            </w:pPr>
            <w:r>
              <w:t>328 mm×482 mm×45mm</w:t>
            </w:r>
          </w:p>
        </w:tc>
      </w:tr>
      <w:tr w14:paraId="2488A6D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56" w:hRule="atLeast"/>
          <w:tblCellSpacing w:w="0" w:type="dxa"/>
        </w:trPr>
        <w:tc>
          <w:tcPr>
            <w:tcW w:w="1695" w:type="dxa"/>
            <w:vMerge w:val="continue"/>
            <w:shd w:val="clear" w:color="auto" w:fill="auto"/>
            <w:vAlign w:val="center"/>
          </w:tcPr>
          <w:p w14:paraId="2D25FB55">
            <w:pPr>
              <w:jc w:val="left"/>
              <w:rPr>
                <w:rFonts w:ascii="宋体"/>
                <w:sz w:val="24"/>
                <w:szCs w:val="24"/>
              </w:rPr>
            </w:pPr>
          </w:p>
        </w:tc>
        <w:tc>
          <w:tcPr>
            <w:tcW w:w="3090" w:type="dxa"/>
            <w:shd w:val="clear" w:color="auto" w:fill="auto"/>
            <w:vAlign w:val="center"/>
          </w:tcPr>
          <w:p w14:paraId="07A7A25C">
            <w:pPr>
              <w:pStyle w:val="6"/>
              <w:widowControl/>
              <w:spacing w:beforeAutospacing="0" w:afterAutospacing="0" w:line="324" w:lineRule="atLeast"/>
              <w:ind w:left="34"/>
            </w:pPr>
            <w:r>
              <w:t>Environment</w:t>
            </w:r>
          </w:p>
        </w:tc>
        <w:tc>
          <w:tcPr>
            <w:tcW w:w="4530" w:type="dxa"/>
            <w:shd w:val="clear" w:color="auto" w:fill="auto"/>
            <w:vAlign w:val="center"/>
          </w:tcPr>
          <w:p w14:paraId="51CDCF6C">
            <w:pPr>
              <w:pStyle w:val="6"/>
              <w:widowControl/>
              <w:spacing w:beforeAutospacing="0" w:afterAutospacing="0" w:line="324" w:lineRule="atLeast"/>
              <w:ind w:left="34"/>
            </w:pPr>
            <w:r>
              <w:t>0~45℃(Work)；-20~80℃(Storage)</w:t>
            </w:r>
          </w:p>
        </w:tc>
      </w:tr>
      <w:tr w14:paraId="0E6DF6B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71" w:hRule="atLeast"/>
          <w:tblCellSpacing w:w="0" w:type="dxa"/>
        </w:trPr>
        <w:tc>
          <w:tcPr>
            <w:tcW w:w="1695" w:type="dxa"/>
            <w:vMerge w:val="continue"/>
            <w:shd w:val="clear" w:color="auto" w:fill="auto"/>
            <w:vAlign w:val="center"/>
          </w:tcPr>
          <w:p w14:paraId="055D687B">
            <w:pPr>
              <w:jc w:val="left"/>
              <w:rPr>
                <w:rFonts w:ascii="宋体"/>
                <w:sz w:val="24"/>
                <w:szCs w:val="24"/>
              </w:rPr>
            </w:pPr>
          </w:p>
        </w:tc>
        <w:tc>
          <w:tcPr>
            <w:tcW w:w="3090" w:type="dxa"/>
            <w:shd w:val="clear" w:color="auto" w:fill="auto"/>
            <w:vAlign w:val="center"/>
          </w:tcPr>
          <w:p w14:paraId="2278F0CC">
            <w:pPr>
              <w:pStyle w:val="6"/>
              <w:widowControl/>
              <w:spacing w:beforeAutospacing="0" w:afterAutospacing="0" w:line="324" w:lineRule="atLeast"/>
              <w:ind w:left="34"/>
            </w:pPr>
            <w:r>
              <w:t>Power Supply</w:t>
            </w:r>
          </w:p>
        </w:tc>
        <w:tc>
          <w:tcPr>
            <w:tcW w:w="4530" w:type="dxa"/>
            <w:shd w:val="clear" w:color="auto" w:fill="auto"/>
            <w:vAlign w:val="center"/>
          </w:tcPr>
          <w:p w14:paraId="375A38C3">
            <w:pPr>
              <w:pStyle w:val="6"/>
              <w:widowControl/>
              <w:spacing w:beforeAutospacing="0" w:afterAutospacing="0" w:line="324" w:lineRule="atLeast"/>
              <w:ind w:left="34"/>
            </w:pPr>
            <w:r>
              <w:t>220VAC±10%，50Hz</w:t>
            </w:r>
          </w:p>
        </w:tc>
      </w:tr>
      <w:tr w14:paraId="6D7093B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41" w:hRule="atLeast"/>
          <w:tblCellSpacing w:w="0" w:type="dxa"/>
        </w:trPr>
        <w:tc>
          <w:tcPr>
            <w:tcW w:w="1695" w:type="dxa"/>
            <w:vMerge w:val="continue"/>
            <w:shd w:val="clear" w:color="auto" w:fill="auto"/>
            <w:vAlign w:val="center"/>
          </w:tcPr>
          <w:p w14:paraId="51DA56D6">
            <w:pPr>
              <w:jc w:val="left"/>
              <w:rPr>
                <w:rFonts w:ascii="宋体"/>
                <w:sz w:val="24"/>
                <w:szCs w:val="24"/>
              </w:rPr>
            </w:pPr>
          </w:p>
        </w:tc>
        <w:tc>
          <w:tcPr>
            <w:tcW w:w="3090" w:type="dxa"/>
            <w:shd w:val="clear" w:color="auto" w:fill="auto"/>
            <w:vAlign w:val="center"/>
          </w:tcPr>
          <w:p w14:paraId="4171E4D6">
            <w:pPr>
              <w:pStyle w:val="6"/>
              <w:widowControl/>
              <w:spacing w:beforeAutospacing="0" w:afterAutospacing="0" w:line="324" w:lineRule="atLeast"/>
              <w:ind w:left="34"/>
            </w:pPr>
            <w:r>
              <w:t>Consumption</w:t>
            </w:r>
          </w:p>
        </w:tc>
        <w:tc>
          <w:tcPr>
            <w:tcW w:w="4530" w:type="dxa"/>
            <w:shd w:val="clear" w:color="auto" w:fill="auto"/>
            <w:vAlign w:val="center"/>
          </w:tcPr>
          <w:p w14:paraId="37A7603B">
            <w:pPr>
              <w:pStyle w:val="6"/>
              <w:widowControl/>
              <w:spacing w:beforeAutospacing="0" w:afterAutospacing="0" w:line="324" w:lineRule="atLeast"/>
              <w:ind w:left="34"/>
            </w:pPr>
            <w:r>
              <w:t>&lt;25W</w:t>
            </w:r>
          </w:p>
        </w:tc>
      </w:tr>
    </w:tbl>
    <w:p w14:paraId="37F34896">
      <w:pPr>
        <w:pStyle w:val="6"/>
        <w:widowControl/>
        <w:spacing w:beforeAutospacing="0" w:afterAutospacing="0" w:line="324" w:lineRule="atLeast"/>
      </w:pPr>
      <w:r>
        <w:rPr>
          <w:rFonts w:ascii="Verdana" w:hAnsi="Verdana" w:cs="Verdana"/>
          <w:color w:val="333333"/>
          <w:sz w:val="18"/>
          <w:szCs w:val="18"/>
          <w:shd w:val="clear" w:color="auto" w:fill="FEFCFD"/>
        </w:rPr>
        <w:t> </w:t>
      </w:r>
    </w:p>
    <w:p w14:paraId="02A31885">
      <w:pPr>
        <w:widowControl/>
        <w:shd w:val="clear" w:color="auto" w:fill="F2F2F4"/>
        <w:jc w:val="left"/>
        <w:rPr>
          <w:rFonts w:ascii="Verdana" w:hAnsi="Verdana" w:cs="Verdana"/>
          <w:color w:val="333333"/>
          <w:sz w:val="18"/>
          <w:szCs w:val="18"/>
        </w:rPr>
      </w:pPr>
    </w:p>
    <w:p w14:paraId="3F3EA8BD">
      <w:pPr>
        <w:rPr>
          <w:rFonts w:ascii="Verdana" w:hAnsi="Verdana" w:cs="Verdana"/>
          <w:color w:val="000000"/>
          <w:sz w:val="28"/>
        </w:rPr>
      </w:pPr>
    </w:p>
    <w:p w14:paraId="6E47EE05">
      <w:pPr>
        <w:rPr>
          <w:rFonts w:ascii="Verdana" w:hAnsi="Verdana" w:cs="Verdana"/>
          <w:b/>
          <w:color w:val="000000"/>
          <w:sz w:val="22"/>
        </w:rPr>
      </w:pPr>
      <w:r>
        <w:rPr>
          <w:rFonts w:hint="eastAsia" w:ascii="Verdana" w:hAnsi="Verdana" w:cs="Verdana"/>
          <w:b/>
          <w:color w:val="000000"/>
          <w:sz w:val="22"/>
        </w:rPr>
        <w:t>About Us</w:t>
      </w:r>
    </w:p>
    <w:p w14:paraId="5271BE0C">
      <w:pPr>
        <w:rPr>
          <w:rFonts w:ascii="Verdana" w:hAnsi="Verdana" w:cs="Verdana"/>
          <w:color w:val="000000"/>
          <w:sz w:val="18"/>
        </w:rPr>
      </w:pPr>
      <w:r>
        <w:rPr>
          <w:rFonts w:hint="eastAsia" w:ascii="Verdana" w:hAnsi="Verdana" w:cs="Verdana"/>
          <w:color w:val="000000"/>
          <w:sz w:val="18"/>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049EB4C6">
      <w:pPr>
        <w:rPr>
          <w:rFonts w:ascii="Verdana" w:hAnsi="Verdana" w:cs="Verdana"/>
          <w:color w:val="000000"/>
          <w:sz w:val="18"/>
        </w:rPr>
      </w:pPr>
    </w:p>
    <w:p w14:paraId="2849E090">
      <w:pPr>
        <w:rPr>
          <w:rFonts w:ascii="Verdana" w:hAnsi="Verdana" w:cs="Verdana"/>
          <w:color w:val="000000"/>
          <w:sz w:val="18"/>
        </w:rPr>
      </w:pPr>
      <w:r>
        <w:rPr>
          <w:rFonts w:hint="eastAsia" w:ascii="Verdana" w:hAnsi="Verdana" w:cs="Verdana"/>
          <w:color w:val="000000"/>
          <w:sz w:val="18"/>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5E5339">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rPr>
        <w:rFonts w:hint="eastAsia" w:ascii="微软雅黑" w:hAnsi="微软雅黑" w:eastAsia="微软雅黑"/>
      </w:rPr>
      <w:fldChar w:fldCharType="begin"/>
    </w:r>
    <w:r>
      <w:rPr>
        <w:rFonts w:hint="eastAsia" w:ascii="微软雅黑" w:hAnsi="微软雅黑" w:eastAsia="微软雅黑"/>
      </w:rPr>
      <w:instrText xml:space="preserve"> HYPERLINK "mailto:sales@fmuser.com"</w:instrText>
    </w:r>
    <w:r>
      <w:rPr>
        <w:rFonts w:hint="eastAsia" w:ascii="微软雅黑" w:hAnsi="微软雅黑" w:eastAsia="微软雅黑"/>
      </w:rPr>
      <w:fldChar w:fldCharType="separate"/>
    </w:r>
    <w:r>
      <w:rPr>
        <w:rStyle w:val="12"/>
        <w:rFonts w:hint="eastAsia" w:ascii="微软雅黑" w:hAnsi="微软雅黑" w:eastAsia="微软雅黑"/>
      </w:rPr>
      <w:t>sales@fmuser.com</w:t>
    </w:r>
    <w:r>
      <w:rPr>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451CABC3">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DD242F">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rPr>
        <w:rFonts w:hint="eastAsia" w:ascii="微软雅黑" w:hAnsi="微软雅黑" w:eastAsia="微软雅黑"/>
      </w:rPr>
      <w:fldChar w:fldCharType="begin"/>
    </w:r>
    <w:r>
      <w:rPr>
        <w:rFonts w:hint="eastAsia" w:ascii="微软雅黑" w:hAnsi="微软雅黑" w:eastAsia="微软雅黑"/>
      </w:rPr>
      <w:instrText xml:space="preserve"> HYPERLINK "mailto:sales@fmuser.com"</w:instrText>
    </w:r>
    <w:r>
      <w:rPr>
        <w:rFonts w:hint="eastAsia" w:ascii="微软雅黑" w:hAnsi="微软雅黑" w:eastAsia="微软雅黑"/>
      </w:rPr>
      <w:fldChar w:fldCharType="separate"/>
    </w:r>
    <w:r>
      <w:rPr>
        <w:rStyle w:val="12"/>
        <w:rFonts w:hint="eastAsia" w:ascii="微软雅黑" w:hAnsi="微软雅黑" w:eastAsia="微软雅黑"/>
      </w:rPr>
      <w:t>sales@fmuser.com</w:t>
    </w:r>
    <w:r>
      <w:rPr>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C61CB"/>
    <w:rsid w:val="001D0C80"/>
    <w:rsid w:val="001E63E5"/>
    <w:rsid w:val="00215238"/>
    <w:rsid w:val="00227839"/>
    <w:rsid w:val="0026470E"/>
    <w:rsid w:val="00270F98"/>
    <w:rsid w:val="003743F3"/>
    <w:rsid w:val="003F2047"/>
    <w:rsid w:val="00444478"/>
    <w:rsid w:val="00453C05"/>
    <w:rsid w:val="00465307"/>
    <w:rsid w:val="0049468E"/>
    <w:rsid w:val="00622ACE"/>
    <w:rsid w:val="00665764"/>
    <w:rsid w:val="00731840"/>
    <w:rsid w:val="007349B0"/>
    <w:rsid w:val="007359E2"/>
    <w:rsid w:val="0077681E"/>
    <w:rsid w:val="008D6808"/>
    <w:rsid w:val="00952937"/>
    <w:rsid w:val="00A16F8C"/>
    <w:rsid w:val="00A35CEF"/>
    <w:rsid w:val="00AE759F"/>
    <w:rsid w:val="00AF7C10"/>
    <w:rsid w:val="00B11FEF"/>
    <w:rsid w:val="00B4381C"/>
    <w:rsid w:val="00B539FF"/>
    <w:rsid w:val="00B56E04"/>
    <w:rsid w:val="00BD4043"/>
    <w:rsid w:val="00C346BD"/>
    <w:rsid w:val="00C44FAF"/>
    <w:rsid w:val="00D24477"/>
    <w:rsid w:val="00F268A0"/>
    <w:rsid w:val="00F714FF"/>
    <w:rsid w:val="00F7593F"/>
    <w:rsid w:val="00FC60FC"/>
    <w:rsid w:val="033D434A"/>
    <w:rsid w:val="051C3287"/>
    <w:rsid w:val="0A680B1B"/>
    <w:rsid w:val="0E714EC9"/>
    <w:rsid w:val="0FC87CEA"/>
    <w:rsid w:val="101C4557"/>
    <w:rsid w:val="11E71DA1"/>
    <w:rsid w:val="15C25510"/>
    <w:rsid w:val="18AE427D"/>
    <w:rsid w:val="18DD00C4"/>
    <w:rsid w:val="18E81EA3"/>
    <w:rsid w:val="1B974A15"/>
    <w:rsid w:val="1CDC4CA0"/>
    <w:rsid w:val="1F9171DB"/>
    <w:rsid w:val="1FCC39C5"/>
    <w:rsid w:val="200D57D6"/>
    <w:rsid w:val="20F61905"/>
    <w:rsid w:val="2199682E"/>
    <w:rsid w:val="239E3C7B"/>
    <w:rsid w:val="27B55639"/>
    <w:rsid w:val="2A752F8B"/>
    <w:rsid w:val="2A8B2CFC"/>
    <w:rsid w:val="2C665CEA"/>
    <w:rsid w:val="2E0F6BE8"/>
    <w:rsid w:val="300E6E86"/>
    <w:rsid w:val="314F3E41"/>
    <w:rsid w:val="3B533162"/>
    <w:rsid w:val="403143E2"/>
    <w:rsid w:val="45872050"/>
    <w:rsid w:val="478E224E"/>
    <w:rsid w:val="485E04E5"/>
    <w:rsid w:val="487316FE"/>
    <w:rsid w:val="49B75FAC"/>
    <w:rsid w:val="4E4A4BF6"/>
    <w:rsid w:val="4F8D25ED"/>
    <w:rsid w:val="51AD130D"/>
    <w:rsid w:val="540A3FAB"/>
    <w:rsid w:val="562E484B"/>
    <w:rsid w:val="56834992"/>
    <w:rsid w:val="5930748A"/>
    <w:rsid w:val="59933671"/>
    <w:rsid w:val="5A9A04CE"/>
    <w:rsid w:val="5AA83521"/>
    <w:rsid w:val="5EEA5249"/>
    <w:rsid w:val="609213A6"/>
    <w:rsid w:val="61BA6334"/>
    <w:rsid w:val="63C27F07"/>
    <w:rsid w:val="68AD6386"/>
    <w:rsid w:val="6D1126D7"/>
    <w:rsid w:val="6D7A6503"/>
    <w:rsid w:val="70757613"/>
    <w:rsid w:val="70B756B4"/>
    <w:rsid w:val="710D1511"/>
    <w:rsid w:val="73270F88"/>
    <w:rsid w:val="74455F31"/>
    <w:rsid w:val="7540100C"/>
    <w:rsid w:val="77935A18"/>
    <w:rsid w:val="7B8E7427"/>
    <w:rsid w:val="7C2B671D"/>
    <w:rsid w:val="7EAE425E"/>
    <w:rsid w:val="7FDF1E6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Autospacing="1" w:afterAutospacing="1"/>
      <w:jc w:val="left"/>
      <w:outlineLvl w:val="4"/>
    </w:pPr>
    <w:rPr>
      <w:rFonts w:hint="eastAsia" w:ascii="宋体" w:hAnsi="宋体" w:eastAsia="宋体" w:cs="Times New Roman"/>
      <w:b/>
      <w:bCs/>
      <w:kern w:val="0"/>
      <w:sz w:val="20"/>
      <w:szCs w:val="20"/>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Autospacing="1" w:afterAutospacing="1"/>
      <w:jc w:val="left"/>
    </w:pPr>
    <w:rPr>
      <w:rFonts w:cs="Times New Roman"/>
      <w:kern w:val="0"/>
      <w:sz w:val="24"/>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3.jpeg"/><Relationship Id="rId7" Type="http://schemas.openxmlformats.org/officeDocument/2006/relationships/hyperlink" Target="https://english.dsdvb.com/Upload/images/Product/Decoder/DX3702/3EEECN_20170421091754.jpg" TargetMode="External"/><Relationship Id="rId6" Type="http://schemas.openxmlformats.org/officeDocument/2006/relationships/image" Target="media/image2.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Pages>
  <Words>313</Words>
  <Characters>1868</Characters>
  <Lines>13</Lines>
  <Paragraphs>3</Paragraphs>
  <TotalTime>27</TotalTime>
  <ScaleCrop>false</ScaleCrop>
  <LinksUpToDate>false</LinksUpToDate>
  <CharactersWithSpaces>2151</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1</cp:lastModifiedBy>
  <dcterms:modified xsi:type="dcterms:W3CDTF">2025-08-20T07:16:55Z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eyJoZGlkIjoiMWY5MzNhYTQwNDc4OGVmNTg4NzE2OTM4MDFkMTQzMmUiLCJ1c2VySWQiOiI4MTk0Mzc2NzQifQ==</vt:lpwstr>
  </property>
  <property fmtid="{D5CDD505-2E9C-101B-9397-08002B2CF9AE}" pid="3" name="KSOProductBuildVer">
    <vt:lpwstr>2052-12.1.0.22529</vt:lpwstr>
  </property>
  <property fmtid="{D5CDD505-2E9C-101B-9397-08002B2CF9AE}" pid="4" name="ICV">
    <vt:lpwstr>3EA267FE38654E16AB0D6AF56450EEA5_13</vt:lpwstr>
  </property>
</Properties>
</file>