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6B9CB">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FUQ-4019J Decoder 8IP-1ASI Input to 8CVBS Output MPEG-2-H.264-AVS+ Video MPEG1 Layer 2-AC3 Audio Real-Time Monitoring Professional Broadcast Cable TV</w:t>
      </w:r>
      <w:bookmarkStart w:id="0" w:name="_GoBack"/>
      <w:r>
        <w:rPr>
          <w:rFonts w:ascii="Verdana" w:hAnsi="Verdana" w:cs="Verdana"/>
          <w:b/>
          <w:color w:val="000000"/>
          <w:sz w:val="28"/>
        </w:rPr>
        <w:drawing>
          <wp:inline distT="0" distB="0" distL="114300" distR="114300">
            <wp:extent cx="6181725" cy="3400425"/>
            <wp:effectExtent l="0" t="0" r="9525" b="9525"/>
            <wp:docPr id="1" name="图片 1" descr="3EEECN_20180828052356"/>
            <wp:cNvGraphicFramePr/>
            <a:graphic xmlns:a="http://schemas.openxmlformats.org/drawingml/2006/main">
              <a:graphicData uri="http://schemas.openxmlformats.org/drawingml/2006/picture">
                <pic:pic xmlns:pic="http://schemas.openxmlformats.org/drawingml/2006/picture">
                  <pic:nvPicPr>
                    <pic:cNvPr id="1" name="图片 1" descr="3EEECN_20180828052356"/>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FF8C00"/>
          <w:sz w:val="39"/>
          <w:szCs w:val="39"/>
          <w:shd w:val="clear" w:color="auto" w:fill="FEFCFD"/>
        </w:rPr>
        <w:t>8*IP + ASI input→ 8*CVBS output</w:t>
      </w:r>
    </w:p>
    <w:p w14:paraId="382CA687">
      <w:pPr>
        <w:pStyle w:val="6"/>
        <w:widowControl/>
        <w:spacing w:beforeAutospacing="0" w:afterAutospacing="0" w:line="324" w:lineRule="atLeast"/>
        <w:ind w:left="142"/>
      </w:pPr>
      <w:r>
        <w:rPr>
          <w:rFonts w:ascii="Verdana" w:hAnsi="Verdana" w:cs="Verdana"/>
          <w:color w:val="333333"/>
          <w:sz w:val="18"/>
          <w:szCs w:val="18"/>
          <w:shd w:val="clear" w:color="auto" w:fill="FEFCFD"/>
        </w:rPr>
        <w:t> </w:t>
      </w:r>
    </w:p>
    <w:p w14:paraId="6D7E6240">
      <w:pPr>
        <w:pStyle w:val="6"/>
        <w:widowControl/>
        <w:spacing w:beforeAutospacing="0" w:afterAutospacing="0" w:line="324" w:lineRule="atLeast"/>
      </w:pPr>
      <w:r>
        <w:rPr>
          <w:rStyle w:val="10"/>
          <w:rFonts w:ascii="Verdana" w:hAnsi="Verdana" w:cs="Verdana"/>
          <w:color w:val="333333"/>
          <w:szCs w:val="24"/>
          <w:shd w:val="clear" w:color="auto" w:fill="FEFCFD"/>
        </w:rPr>
        <w:t>Product Overview</w:t>
      </w:r>
    </w:p>
    <w:p w14:paraId="4F82014E">
      <w:pPr>
        <w:pStyle w:val="6"/>
        <w:widowControl/>
        <w:spacing w:beforeAutospacing="0" w:afterAutospacing="0" w:line="324" w:lineRule="atLeast"/>
        <w:ind w:left="568"/>
      </w:pPr>
      <w:r>
        <w:rPr>
          <w:rFonts w:hint="eastAsia" w:ascii="Verdana" w:hAnsi="Verdana" w:cs="Verdana"/>
          <w:color w:val="333333"/>
          <w:sz w:val="18"/>
          <w:szCs w:val="18"/>
          <w:shd w:val="clear" w:color="auto" w:fill="FEFCFD"/>
        </w:rPr>
        <w:t>The FMUSER FUQ-4214 is a 1U digital decoder supporting 8IP (UDP/RTP) and 1ASI inputs with 8CVBS analog outputs. It processes signals by decoding MPEG-2/H.264/AVS+ video and MPEG1 Layer 2/AC3 audio codecs. Featuring a pluggable module design and control via LCD and web-server, it is ideal for broadcast systems and cable TV distribution networks.</w:t>
      </w:r>
      <w:r>
        <w:rPr>
          <w:rFonts w:ascii="Verdana" w:hAnsi="Verdana" w:cs="Verdana"/>
          <w:color w:val="333333"/>
          <w:sz w:val="18"/>
          <w:szCs w:val="18"/>
          <w:shd w:val="clear" w:color="auto" w:fill="FEFCFD"/>
        </w:rPr>
        <w:t> </w:t>
      </w:r>
    </w:p>
    <w:p w14:paraId="2CCC3611">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Cs w:val="24"/>
          <w:shd w:val="clear" w:color="auto" w:fill="FEFCFD"/>
          <w:lang w:eastAsia="zh-CN"/>
        </w:rPr>
        <w:t>Key feature</w:t>
      </w:r>
    </w:p>
    <w:p w14:paraId="3431166F">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versatile inputs: 8IP (UDP/RTP) and 1ASI signals.  </w:t>
      </w:r>
    </w:p>
    <w:p w14:paraId="7707753A">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high-density output: 8CVBS video and unbalanced stereo audio.  </w:t>
      </w:r>
    </w:p>
    <w:p w14:paraId="04C47C25">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advanced codec decoding: MPEG-2/H.264/AVS+ video and MPEG1 Layer 2/AC3 audio.  </w:t>
      </w:r>
    </w:p>
    <w:p w14:paraId="0FF8344C">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real-time bit rate monitoring for quality control.  </w:t>
      </w:r>
    </w:p>
    <w:p w14:paraId="4B088326">
      <w:pPr>
        <w:pStyle w:val="6"/>
        <w:widowControl/>
        <w:spacing w:beforeAutospacing="0" w:afterAutospacing="0" w:line="324" w:lineRule="atLeast"/>
        <w:ind w:left="426"/>
      </w:pPr>
      <w:r>
        <w:rPr>
          <w:rFonts w:hint="eastAsia" w:ascii="Verdana" w:hAnsi="Verdana" w:cs="Verdana"/>
          <w:color w:val="333333"/>
          <w:sz w:val="18"/>
          <w:szCs w:val="18"/>
          <w:shd w:val="clear" w:color="auto" w:fill="FEFCFD"/>
        </w:rPr>
        <w:t xml:space="preserve">Enables easy management via LCD and web-server.  </w:t>
      </w:r>
    </w:p>
    <w:p w14:paraId="22F25813">
      <w:pPr>
        <w:pStyle w:val="6"/>
        <w:widowControl/>
        <w:spacing w:beforeAutospacing="0" w:afterAutospacing="0" w:line="324" w:lineRule="atLeast"/>
      </w:pPr>
      <w:r>
        <w:rPr>
          <w:rStyle w:val="10"/>
          <w:rFonts w:ascii="Verdana" w:hAnsi="Verdana" w:cs="Verdana"/>
          <w:color w:val="333333"/>
          <w:szCs w:val="24"/>
          <w:shd w:val="clear" w:color="auto" w:fill="FEFCFD"/>
        </w:rPr>
        <w:t>Principle Chart </w:t>
      </w:r>
    </w:p>
    <w:p w14:paraId="35457241">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8075" cy="2951480"/>
            <wp:effectExtent l="0" t="0" r="3175" b="127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8075" cy="2951480"/>
                    </a:xfrm>
                    <a:prstGeom prst="rect">
                      <a:avLst/>
                    </a:prstGeom>
                    <a:noFill/>
                    <a:ln w="9525">
                      <a:noFill/>
                    </a:ln>
                  </pic:spPr>
                </pic:pic>
              </a:graphicData>
            </a:graphic>
          </wp:inline>
        </w:drawing>
      </w:r>
    </w:p>
    <w:p w14:paraId="08984DE7">
      <w:pPr>
        <w:pStyle w:val="6"/>
        <w:widowControl/>
        <w:spacing w:beforeAutospacing="0" w:afterAutospacing="0" w:line="324" w:lineRule="atLeast"/>
      </w:pPr>
      <w:r>
        <w:rPr>
          <w:rFonts w:ascii="Verdana" w:hAnsi="Verdana" w:cs="Verdana"/>
          <w:color w:val="333333"/>
          <w:sz w:val="18"/>
          <w:szCs w:val="18"/>
          <w:shd w:val="clear" w:color="auto" w:fill="FEFCFD"/>
        </w:rPr>
        <w:t> </w:t>
      </w:r>
    </w:p>
    <w:p w14:paraId="458DF1BA">
      <w:pPr>
        <w:pStyle w:val="6"/>
        <w:widowControl/>
        <w:spacing w:beforeAutospacing="0" w:afterAutospacing="0" w:line="324" w:lineRule="atLeast"/>
      </w:pPr>
      <w:r>
        <w:rPr>
          <w:rStyle w:val="10"/>
          <w:rFonts w:ascii="Verdana" w:hAnsi="Verdana" w:cs="Verdana"/>
          <w:color w:val="333333"/>
          <w:szCs w:val="24"/>
          <w:shd w:val="clear" w:color="auto" w:fill="FEFCFD"/>
        </w:rPr>
        <w:t>Specification</w:t>
      </w:r>
    </w:p>
    <w:tbl>
      <w:tblPr>
        <w:tblStyle w:val="7"/>
        <w:tblW w:w="931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62"/>
        <w:gridCol w:w="15"/>
        <w:gridCol w:w="3100"/>
        <w:gridCol w:w="4538"/>
      </w:tblGrid>
      <w:tr w14:paraId="5FC9CA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665" w:type="dxa"/>
            <w:vMerge w:val="restart"/>
            <w:shd w:val="clear" w:color="auto" w:fill="auto"/>
            <w:vAlign w:val="center"/>
          </w:tcPr>
          <w:p w14:paraId="72BEDC81">
            <w:pPr>
              <w:pStyle w:val="6"/>
              <w:widowControl/>
              <w:spacing w:beforeAutospacing="0" w:afterAutospacing="0" w:line="324" w:lineRule="atLeast"/>
              <w:ind w:left="34"/>
            </w:pPr>
            <w:r>
              <w:t>Input</w:t>
            </w:r>
          </w:p>
        </w:tc>
        <w:tc>
          <w:tcPr>
            <w:tcW w:w="7650" w:type="dxa"/>
            <w:gridSpan w:val="3"/>
            <w:shd w:val="clear" w:color="auto" w:fill="auto"/>
            <w:vAlign w:val="center"/>
          </w:tcPr>
          <w:p w14:paraId="0574E149">
            <w:pPr>
              <w:pStyle w:val="6"/>
              <w:widowControl/>
              <w:spacing w:beforeAutospacing="0" w:afterAutospacing="0" w:line="324" w:lineRule="atLeast"/>
              <w:ind w:left="34"/>
            </w:pPr>
            <w:r>
              <w:t>8*IP (MPTS/SPTS) (100Mbps Ethernet) (RJ45)</w:t>
            </w:r>
          </w:p>
        </w:tc>
      </w:tr>
      <w:tr w14:paraId="286196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1665" w:type="dxa"/>
            <w:vMerge w:val="continue"/>
            <w:shd w:val="clear" w:color="auto" w:fill="auto"/>
            <w:vAlign w:val="center"/>
          </w:tcPr>
          <w:p w14:paraId="7022F393">
            <w:pPr>
              <w:jc w:val="left"/>
              <w:rPr>
                <w:rFonts w:ascii="宋体"/>
                <w:sz w:val="24"/>
                <w:szCs w:val="24"/>
              </w:rPr>
            </w:pPr>
          </w:p>
        </w:tc>
        <w:tc>
          <w:tcPr>
            <w:tcW w:w="3120" w:type="dxa"/>
            <w:gridSpan w:val="2"/>
            <w:shd w:val="clear" w:color="auto" w:fill="auto"/>
            <w:vAlign w:val="center"/>
          </w:tcPr>
          <w:p w14:paraId="7507E8A6">
            <w:pPr>
              <w:pStyle w:val="6"/>
              <w:widowControl/>
              <w:spacing w:beforeAutospacing="0" w:afterAutospacing="0" w:line="324" w:lineRule="atLeast"/>
              <w:ind w:left="34"/>
            </w:pPr>
            <w:r>
              <w:t>IP Protocol</w:t>
            </w:r>
          </w:p>
        </w:tc>
        <w:tc>
          <w:tcPr>
            <w:tcW w:w="4545" w:type="dxa"/>
            <w:shd w:val="clear" w:color="auto" w:fill="auto"/>
            <w:vAlign w:val="center"/>
          </w:tcPr>
          <w:p w14:paraId="04526DF1">
            <w:pPr>
              <w:pStyle w:val="6"/>
              <w:widowControl/>
              <w:spacing w:beforeAutospacing="0" w:afterAutospacing="0" w:line="324" w:lineRule="atLeast"/>
              <w:ind w:left="34"/>
            </w:pPr>
            <w:r>
              <w:t>UDP and RTP (Unicast/multicast)</w:t>
            </w:r>
          </w:p>
        </w:tc>
      </w:tr>
      <w:tr w14:paraId="0F45A4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65" w:type="dxa"/>
            <w:vMerge w:val="continue"/>
            <w:shd w:val="clear" w:color="auto" w:fill="auto"/>
            <w:vAlign w:val="center"/>
          </w:tcPr>
          <w:p w14:paraId="33DD9E08">
            <w:pPr>
              <w:jc w:val="left"/>
              <w:rPr>
                <w:rFonts w:ascii="宋体"/>
                <w:sz w:val="24"/>
                <w:szCs w:val="24"/>
              </w:rPr>
            </w:pPr>
          </w:p>
        </w:tc>
        <w:tc>
          <w:tcPr>
            <w:tcW w:w="7650" w:type="dxa"/>
            <w:gridSpan w:val="3"/>
            <w:shd w:val="clear" w:color="auto" w:fill="auto"/>
            <w:vAlign w:val="center"/>
          </w:tcPr>
          <w:p w14:paraId="02E2CCDA">
            <w:pPr>
              <w:pStyle w:val="6"/>
              <w:widowControl/>
              <w:spacing w:beforeAutospacing="0" w:afterAutospacing="0" w:line="324" w:lineRule="atLeast"/>
              <w:ind w:left="34"/>
            </w:pPr>
            <w:r>
              <w:t>1* ASI (BNC)</w:t>
            </w:r>
          </w:p>
        </w:tc>
      </w:tr>
      <w:tr w14:paraId="0EFA9F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65" w:type="dxa"/>
            <w:vMerge w:val="restart"/>
            <w:shd w:val="clear" w:color="auto" w:fill="auto"/>
            <w:vAlign w:val="center"/>
          </w:tcPr>
          <w:p w14:paraId="13B5FC62">
            <w:pPr>
              <w:pStyle w:val="6"/>
              <w:widowControl/>
              <w:spacing w:beforeAutospacing="0" w:afterAutospacing="0" w:line="324" w:lineRule="atLeast"/>
              <w:ind w:left="34"/>
            </w:pPr>
            <w:r>
              <w:t>Decode</w:t>
            </w:r>
          </w:p>
        </w:tc>
        <w:tc>
          <w:tcPr>
            <w:tcW w:w="3120" w:type="dxa"/>
            <w:gridSpan w:val="2"/>
            <w:shd w:val="clear" w:color="auto" w:fill="auto"/>
            <w:vAlign w:val="center"/>
          </w:tcPr>
          <w:p w14:paraId="080905F8">
            <w:pPr>
              <w:pStyle w:val="6"/>
              <w:widowControl/>
              <w:spacing w:beforeAutospacing="0" w:afterAutospacing="0" w:line="324" w:lineRule="atLeast"/>
              <w:ind w:left="34"/>
            </w:pPr>
            <w:r>
              <w:t>Video Format</w:t>
            </w:r>
          </w:p>
        </w:tc>
        <w:tc>
          <w:tcPr>
            <w:tcW w:w="4545" w:type="dxa"/>
            <w:shd w:val="clear" w:color="auto" w:fill="auto"/>
            <w:vAlign w:val="center"/>
          </w:tcPr>
          <w:p w14:paraId="77C23A04">
            <w:pPr>
              <w:pStyle w:val="6"/>
              <w:widowControl/>
              <w:spacing w:beforeAutospacing="0" w:afterAutospacing="0" w:line="324" w:lineRule="atLeast"/>
              <w:ind w:left="34"/>
            </w:pPr>
            <w:r>
              <w:t>MPEG-2/H.264/AVS+</w:t>
            </w:r>
          </w:p>
        </w:tc>
      </w:tr>
      <w:tr w14:paraId="332535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65" w:type="dxa"/>
            <w:vMerge w:val="continue"/>
            <w:shd w:val="clear" w:color="auto" w:fill="auto"/>
            <w:vAlign w:val="center"/>
          </w:tcPr>
          <w:p w14:paraId="42D57377">
            <w:pPr>
              <w:jc w:val="left"/>
              <w:rPr>
                <w:rFonts w:ascii="宋体"/>
                <w:sz w:val="24"/>
                <w:szCs w:val="24"/>
              </w:rPr>
            </w:pPr>
          </w:p>
        </w:tc>
        <w:tc>
          <w:tcPr>
            <w:tcW w:w="3120" w:type="dxa"/>
            <w:gridSpan w:val="2"/>
            <w:shd w:val="clear" w:color="auto" w:fill="auto"/>
            <w:vAlign w:val="center"/>
          </w:tcPr>
          <w:p w14:paraId="6743BD8A">
            <w:pPr>
              <w:pStyle w:val="6"/>
              <w:widowControl/>
              <w:spacing w:beforeAutospacing="0" w:afterAutospacing="0" w:line="324" w:lineRule="atLeast"/>
              <w:ind w:left="34"/>
            </w:pPr>
            <w:r>
              <w:t>Interface</w:t>
            </w:r>
          </w:p>
        </w:tc>
        <w:tc>
          <w:tcPr>
            <w:tcW w:w="4545" w:type="dxa"/>
            <w:shd w:val="clear" w:color="auto" w:fill="auto"/>
            <w:vAlign w:val="center"/>
          </w:tcPr>
          <w:p w14:paraId="01EF3B21">
            <w:pPr>
              <w:pStyle w:val="6"/>
              <w:widowControl/>
              <w:spacing w:beforeAutospacing="0" w:afterAutospacing="0" w:line="324" w:lineRule="atLeast"/>
              <w:ind w:left="34"/>
            </w:pPr>
            <w:r>
              <w:t>8* CVBS（RCA）</w:t>
            </w:r>
          </w:p>
        </w:tc>
      </w:tr>
      <w:tr w14:paraId="631019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665" w:type="dxa"/>
            <w:vMerge w:val="continue"/>
            <w:shd w:val="clear" w:color="auto" w:fill="auto"/>
            <w:vAlign w:val="center"/>
          </w:tcPr>
          <w:p w14:paraId="2197CB95">
            <w:pPr>
              <w:jc w:val="left"/>
              <w:rPr>
                <w:rFonts w:ascii="宋体"/>
                <w:sz w:val="24"/>
                <w:szCs w:val="24"/>
              </w:rPr>
            </w:pPr>
          </w:p>
        </w:tc>
        <w:tc>
          <w:tcPr>
            <w:tcW w:w="3120" w:type="dxa"/>
            <w:gridSpan w:val="2"/>
            <w:shd w:val="clear" w:color="auto" w:fill="auto"/>
            <w:vAlign w:val="center"/>
          </w:tcPr>
          <w:p w14:paraId="6585A19C">
            <w:pPr>
              <w:pStyle w:val="6"/>
              <w:widowControl/>
              <w:spacing w:beforeAutospacing="0" w:afterAutospacing="0" w:line="324" w:lineRule="atLeast"/>
              <w:ind w:left="34"/>
            </w:pPr>
            <w:r>
              <w:t>Video Resolution</w:t>
            </w:r>
          </w:p>
        </w:tc>
        <w:tc>
          <w:tcPr>
            <w:tcW w:w="4545" w:type="dxa"/>
            <w:shd w:val="clear" w:color="auto" w:fill="auto"/>
            <w:vAlign w:val="center"/>
          </w:tcPr>
          <w:p w14:paraId="382441F2">
            <w:pPr>
              <w:pStyle w:val="6"/>
              <w:widowControl/>
              <w:spacing w:beforeAutospacing="0" w:afterAutospacing="0" w:line="324" w:lineRule="atLeast"/>
              <w:ind w:left="34"/>
            </w:pPr>
            <w:r>
              <w:t>576i@25fps, 480i@29.97fps</w:t>
            </w:r>
          </w:p>
        </w:tc>
      </w:tr>
      <w:tr w14:paraId="50339F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65" w:type="dxa"/>
            <w:vMerge w:val="continue"/>
            <w:shd w:val="clear" w:color="auto" w:fill="auto"/>
            <w:vAlign w:val="center"/>
          </w:tcPr>
          <w:p w14:paraId="5CE91586">
            <w:pPr>
              <w:jc w:val="left"/>
              <w:rPr>
                <w:rFonts w:ascii="宋体"/>
                <w:sz w:val="24"/>
                <w:szCs w:val="24"/>
              </w:rPr>
            </w:pPr>
          </w:p>
        </w:tc>
        <w:tc>
          <w:tcPr>
            <w:tcW w:w="3120" w:type="dxa"/>
            <w:gridSpan w:val="2"/>
            <w:shd w:val="clear" w:color="auto" w:fill="auto"/>
            <w:vAlign w:val="center"/>
          </w:tcPr>
          <w:p w14:paraId="444E99DF">
            <w:pPr>
              <w:pStyle w:val="6"/>
              <w:widowControl/>
              <w:spacing w:beforeAutospacing="0" w:afterAutospacing="0" w:line="324" w:lineRule="atLeast"/>
              <w:ind w:left="34"/>
            </w:pPr>
            <w:r>
              <w:t>Audio Format</w:t>
            </w:r>
          </w:p>
        </w:tc>
        <w:tc>
          <w:tcPr>
            <w:tcW w:w="4545" w:type="dxa"/>
            <w:shd w:val="clear" w:color="auto" w:fill="auto"/>
            <w:vAlign w:val="center"/>
          </w:tcPr>
          <w:p w14:paraId="44CF2EDA">
            <w:pPr>
              <w:pStyle w:val="6"/>
              <w:widowControl/>
              <w:spacing w:beforeAutospacing="0" w:afterAutospacing="0" w:line="324" w:lineRule="atLeast"/>
              <w:ind w:left="34"/>
            </w:pPr>
            <w:r>
              <w:t>MPEG-1 Layer 2, AC3 (2.0)</w:t>
            </w:r>
          </w:p>
        </w:tc>
      </w:tr>
      <w:tr w14:paraId="03131D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65" w:type="dxa"/>
            <w:vMerge w:val="continue"/>
            <w:shd w:val="clear" w:color="auto" w:fill="auto"/>
            <w:vAlign w:val="center"/>
          </w:tcPr>
          <w:p w14:paraId="3CA89DB2">
            <w:pPr>
              <w:jc w:val="left"/>
              <w:rPr>
                <w:rFonts w:ascii="宋体"/>
                <w:sz w:val="24"/>
                <w:szCs w:val="24"/>
              </w:rPr>
            </w:pPr>
          </w:p>
        </w:tc>
        <w:tc>
          <w:tcPr>
            <w:tcW w:w="3120" w:type="dxa"/>
            <w:gridSpan w:val="2"/>
            <w:shd w:val="clear" w:color="auto" w:fill="auto"/>
            <w:vAlign w:val="center"/>
          </w:tcPr>
          <w:p w14:paraId="69DE15F2">
            <w:pPr>
              <w:pStyle w:val="6"/>
              <w:widowControl/>
              <w:spacing w:beforeAutospacing="0" w:afterAutospacing="0" w:line="324" w:lineRule="atLeast"/>
              <w:ind w:left="34"/>
            </w:pPr>
            <w:r>
              <w:t>Interface</w:t>
            </w:r>
          </w:p>
        </w:tc>
        <w:tc>
          <w:tcPr>
            <w:tcW w:w="4545" w:type="dxa"/>
            <w:shd w:val="clear" w:color="auto" w:fill="auto"/>
            <w:vAlign w:val="center"/>
          </w:tcPr>
          <w:p w14:paraId="5FFBE126">
            <w:pPr>
              <w:pStyle w:val="6"/>
              <w:widowControl/>
              <w:spacing w:beforeAutospacing="0" w:afterAutospacing="0" w:line="324" w:lineRule="atLeast"/>
              <w:ind w:left="34"/>
            </w:pPr>
            <w:r>
              <w:t>8*Unbalanced stereo (RCA)</w:t>
            </w:r>
          </w:p>
        </w:tc>
      </w:tr>
      <w:tr w14:paraId="29B70B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80" w:type="dxa"/>
            <w:gridSpan w:val="2"/>
            <w:vMerge w:val="restart"/>
            <w:shd w:val="clear" w:color="auto" w:fill="auto"/>
            <w:vAlign w:val="center"/>
          </w:tcPr>
          <w:p w14:paraId="680C8BF2">
            <w:pPr>
              <w:pStyle w:val="6"/>
              <w:widowControl/>
              <w:spacing w:beforeAutospacing="0" w:afterAutospacing="0" w:line="324" w:lineRule="atLeast"/>
              <w:ind w:left="34"/>
            </w:pPr>
            <w:r>
              <w:t>General</w:t>
            </w:r>
          </w:p>
        </w:tc>
        <w:tc>
          <w:tcPr>
            <w:tcW w:w="3105" w:type="dxa"/>
            <w:shd w:val="clear" w:color="auto" w:fill="auto"/>
            <w:vAlign w:val="center"/>
          </w:tcPr>
          <w:p w14:paraId="4F603046">
            <w:pPr>
              <w:pStyle w:val="6"/>
              <w:widowControl/>
              <w:spacing w:beforeAutospacing="0" w:afterAutospacing="0" w:line="324" w:lineRule="atLeast"/>
              <w:ind w:left="34"/>
            </w:pPr>
            <w:r>
              <w:t>Operation</w:t>
            </w:r>
          </w:p>
        </w:tc>
        <w:tc>
          <w:tcPr>
            <w:tcW w:w="4545" w:type="dxa"/>
            <w:shd w:val="clear" w:color="auto" w:fill="auto"/>
            <w:vAlign w:val="center"/>
          </w:tcPr>
          <w:p w14:paraId="33B34502">
            <w:pPr>
              <w:pStyle w:val="6"/>
              <w:widowControl/>
              <w:spacing w:beforeAutospacing="0" w:afterAutospacing="0" w:line="324" w:lineRule="atLeast"/>
              <w:ind w:left="34"/>
            </w:pPr>
            <w:r>
              <w:t>LCD display/Control button; Web-server</w:t>
            </w:r>
          </w:p>
        </w:tc>
      </w:tr>
      <w:tr w14:paraId="036330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80" w:type="dxa"/>
            <w:gridSpan w:val="2"/>
            <w:vMerge w:val="continue"/>
            <w:shd w:val="clear" w:color="auto" w:fill="auto"/>
            <w:vAlign w:val="center"/>
          </w:tcPr>
          <w:p w14:paraId="1ECE947B">
            <w:pPr>
              <w:jc w:val="left"/>
              <w:rPr>
                <w:rFonts w:ascii="宋体"/>
                <w:sz w:val="24"/>
                <w:szCs w:val="24"/>
              </w:rPr>
            </w:pPr>
          </w:p>
        </w:tc>
        <w:tc>
          <w:tcPr>
            <w:tcW w:w="3105" w:type="dxa"/>
            <w:shd w:val="clear" w:color="auto" w:fill="auto"/>
            <w:vAlign w:val="center"/>
          </w:tcPr>
          <w:p w14:paraId="189F0480">
            <w:pPr>
              <w:pStyle w:val="6"/>
              <w:widowControl/>
              <w:spacing w:beforeAutospacing="0" w:afterAutospacing="0" w:line="324" w:lineRule="atLeast"/>
              <w:ind w:left="34"/>
            </w:pPr>
            <w:r>
              <w:t>Language</w:t>
            </w:r>
          </w:p>
        </w:tc>
        <w:tc>
          <w:tcPr>
            <w:tcW w:w="4545" w:type="dxa"/>
            <w:shd w:val="clear" w:color="auto" w:fill="auto"/>
            <w:vAlign w:val="center"/>
          </w:tcPr>
          <w:p w14:paraId="49E53873">
            <w:pPr>
              <w:pStyle w:val="6"/>
              <w:widowControl/>
              <w:spacing w:beforeAutospacing="0" w:afterAutospacing="0" w:line="324" w:lineRule="atLeast"/>
              <w:ind w:left="34"/>
            </w:pPr>
            <w:r>
              <w:t>Chinese/English</w:t>
            </w:r>
          </w:p>
        </w:tc>
      </w:tr>
      <w:tr w14:paraId="5E5B25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80" w:type="dxa"/>
            <w:gridSpan w:val="2"/>
            <w:vMerge w:val="continue"/>
            <w:shd w:val="clear" w:color="auto" w:fill="auto"/>
            <w:vAlign w:val="center"/>
          </w:tcPr>
          <w:p w14:paraId="37BFD9B7">
            <w:pPr>
              <w:jc w:val="left"/>
              <w:rPr>
                <w:rFonts w:ascii="宋体"/>
                <w:sz w:val="24"/>
                <w:szCs w:val="24"/>
              </w:rPr>
            </w:pPr>
          </w:p>
        </w:tc>
        <w:tc>
          <w:tcPr>
            <w:tcW w:w="3105" w:type="dxa"/>
            <w:shd w:val="clear" w:color="auto" w:fill="auto"/>
            <w:vAlign w:val="center"/>
          </w:tcPr>
          <w:p w14:paraId="3E6A333E">
            <w:pPr>
              <w:pStyle w:val="6"/>
              <w:widowControl/>
              <w:spacing w:beforeAutospacing="0" w:afterAutospacing="0" w:line="324" w:lineRule="atLeast"/>
              <w:ind w:left="34"/>
            </w:pPr>
            <w:r>
              <w:t>Dimension (LxWxH)</w:t>
            </w:r>
          </w:p>
        </w:tc>
        <w:tc>
          <w:tcPr>
            <w:tcW w:w="4545" w:type="dxa"/>
            <w:shd w:val="clear" w:color="auto" w:fill="auto"/>
            <w:vAlign w:val="center"/>
          </w:tcPr>
          <w:p w14:paraId="42397561">
            <w:pPr>
              <w:pStyle w:val="6"/>
              <w:widowControl/>
              <w:spacing w:beforeAutospacing="0" w:afterAutospacing="0" w:line="324" w:lineRule="atLeast"/>
              <w:ind w:left="34"/>
            </w:pPr>
            <w:r>
              <w:t>44 mm×482 mm×410mm</w:t>
            </w:r>
          </w:p>
        </w:tc>
      </w:tr>
      <w:tr w14:paraId="00AA53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80" w:type="dxa"/>
            <w:gridSpan w:val="2"/>
            <w:vMerge w:val="continue"/>
            <w:shd w:val="clear" w:color="auto" w:fill="auto"/>
            <w:vAlign w:val="center"/>
          </w:tcPr>
          <w:p w14:paraId="03D4CF1C">
            <w:pPr>
              <w:jc w:val="left"/>
              <w:rPr>
                <w:rFonts w:ascii="宋体"/>
                <w:sz w:val="24"/>
                <w:szCs w:val="24"/>
              </w:rPr>
            </w:pPr>
          </w:p>
        </w:tc>
        <w:tc>
          <w:tcPr>
            <w:tcW w:w="3105" w:type="dxa"/>
            <w:shd w:val="clear" w:color="auto" w:fill="auto"/>
            <w:vAlign w:val="center"/>
          </w:tcPr>
          <w:p w14:paraId="07BA797C">
            <w:pPr>
              <w:pStyle w:val="6"/>
              <w:widowControl/>
              <w:spacing w:beforeAutospacing="0" w:afterAutospacing="0" w:line="324" w:lineRule="atLeast"/>
              <w:ind w:left="34"/>
            </w:pPr>
            <w:r>
              <w:t>Environment</w:t>
            </w:r>
          </w:p>
        </w:tc>
        <w:tc>
          <w:tcPr>
            <w:tcW w:w="4545" w:type="dxa"/>
            <w:shd w:val="clear" w:color="auto" w:fill="auto"/>
            <w:vAlign w:val="center"/>
          </w:tcPr>
          <w:p w14:paraId="5A87EF2C">
            <w:pPr>
              <w:pStyle w:val="6"/>
              <w:widowControl/>
              <w:spacing w:beforeAutospacing="0" w:afterAutospacing="0" w:line="324" w:lineRule="atLeast"/>
              <w:ind w:left="34"/>
            </w:pPr>
            <w:r>
              <w:t>0~45℃(Work)；-20~80℃(Storage)</w:t>
            </w:r>
          </w:p>
        </w:tc>
      </w:tr>
      <w:tr w14:paraId="3A4AF9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80" w:type="dxa"/>
            <w:gridSpan w:val="2"/>
            <w:vMerge w:val="continue"/>
            <w:shd w:val="clear" w:color="auto" w:fill="auto"/>
            <w:vAlign w:val="center"/>
          </w:tcPr>
          <w:p w14:paraId="28DD39A4">
            <w:pPr>
              <w:jc w:val="left"/>
              <w:rPr>
                <w:rFonts w:ascii="宋体"/>
                <w:sz w:val="24"/>
                <w:szCs w:val="24"/>
              </w:rPr>
            </w:pPr>
          </w:p>
        </w:tc>
        <w:tc>
          <w:tcPr>
            <w:tcW w:w="3105" w:type="dxa"/>
            <w:shd w:val="clear" w:color="auto" w:fill="auto"/>
            <w:vAlign w:val="center"/>
          </w:tcPr>
          <w:p w14:paraId="4A2EF13B">
            <w:pPr>
              <w:pStyle w:val="6"/>
              <w:widowControl/>
              <w:spacing w:beforeAutospacing="0" w:afterAutospacing="0" w:line="324" w:lineRule="atLeast"/>
              <w:ind w:left="34"/>
            </w:pPr>
            <w:r>
              <w:t>Power Supply</w:t>
            </w:r>
          </w:p>
        </w:tc>
        <w:tc>
          <w:tcPr>
            <w:tcW w:w="4545" w:type="dxa"/>
            <w:shd w:val="clear" w:color="auto" w:fill="auto"/>
            <w:vAlign w:val="center"/>
          </w:tcPr>
          <w:p w14:paraId="3C84A824">
            <w:pPr>
              <w:pStyle w:val="6"/>
              <w:widowControl/>
              <w:spacing w:beforeAutospacing="0" w:afterAutospacing="0" w:line="324" w:lineRule="atLeast"/>
              <w:ind w:left="34"/>
            </w:pPr>
            <w:r>
              <w:t>220VAC±10%，50Hz</w:t>
            </w:r>
          </w:p>
        </w:tc>
      </w:tr>
      <w:tr w14:paraId="21CBF2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80" w:type="dxa"/>
            <w:gridSpan w:val="2"/>
            <w:vMerge w:val="continue"/>
            <w:shd w:val="clear" w:color="auto" w:fill="auto"/>
            <w:vAlign w:val="center"/>
          </w:tcPr>
          <w:p w14:paraId="443C184C">
            <w:pPr>
              <w:jc w:val="left"/>
              <w:rPr>
                <w:rFonts w:ascii="宋体"/>
                <w:sz w:val="24"/>
                <w:szCs w:val="24"/>
              </w:rPr>
            </w:pPr>
          </w:p>
        </w:tc>
        <w:tc>
          <w:tcPr>
            <w:tcW w:w="3105" w:type="dxa"/>
            <w:shd w:val="clear" w:color="auto" w:fill="auto"/>
            <w:vAlign w:val="center"/>
          </w:tcPr>
          <w:p w14:paraId="5C897D08">
            <w:pPr>
              <w:pStyle w:val="6"/>
              <w:widowControl/>
              <w:spacing w:beforeAutospacing="0" w:afterAutospacing="0" w:line="324" w:lineRule="atLeast"/>
              <w:ind w:left="34"/>
            </w:pPr>
            <w:r>
              <w:t>Consumption</w:t>
            </w:r>
          </w:p>
        </w:tc>
        <w:tc>
          <w:tcPr>
            <w:tcW w:w="4545" w:type="dxa"/>
            <w:shd w:val="clear" w:color="auto" w:fill="auto"/>
            <w:vAlign w:val="center"/>
          </w:tcPr>
          <w:p w14:paraId="322F63A6">
            <w:pPr>
              <w:pStyle w:val="6"/>
              <w:widowControl/>
              <w:spacing w:beforeAutospacing="0" w:afterAutospacing="0" w:line="324" w:lineRule="atLeast"/>
              <w:ind w:left="34"/>
            </w:pPr>
            <w:r>
              <w:t>&lt;25W</w:t>
            </w:r>
          </w:p>
        </w:tc>
      </w:tr>
    </w:tbl>
    <w:p w14:paraId="2DF0CF03">
      <w:pPr>
        <w:pStyle w:val="6"/>
        <w:widowControl/>
        <w:spacing w:beforeAutospacing="0" w:afterAutospacing="0" w:line="324" w:lineRule="atLeast"/>
        <w:jc w:val="right"/>
      </w:pPr>
      <w:r>
        <w:rPr>
          <w:rFonts w:ascii="Verdana" w:hAnsi="Verdana" w:cs="Verdana"/>
          <w:color w:val="333333"/>
          <w:sz w:val="18"/>
          <w:szCs w:val="18"/>
          <w:shd w:val="clear" w:color="auto" w:fill="FEFCFD"/>
        </w:rPr>
        <w:t> </w:t>
      </w:r>
    </w:p>
    <w:p w14:paraId="5300362C">
      <w:pPr>
        <w:widowControl/>
        <w:shd w:val="clear" w:color="auto" w:fill="F2F2F4"/>
        <w:jc w:val="left"/>
        <w:rPr>
          <w:rFonts w:ascii="Verdana" w:hAnsi="Verdana" w:cs="Verdana"/>
          <w:color w:val="333333"/>
          <w:sz w:val="18"/>
          <w:szCs w:val="18"/>
        </w:rPr>
      </w:pPr>
    </w:p>
    <w:p w14:paraId="7000870B">
      <w:pPr>
        <w:rPr>
          <w:rFonts w:ascii="Verdana" w:hAnsi="Verdana" w:cs="Verdana"/>
          <w:color w:val="000000"/>
          <w:sz w:val="28"/>
        </w:rPr>
      </w:pPr>
    </w:p>
    <w:p w14:paraId="493F32B4">
      <w:pPr>
        <w:rPr>
          <w:rFonts w:ascii="Verdana" w:hAnsi="Verdana" w:cs="Verdana"/>
          <w:b/>
          <w:color w:val="000000"/>
          <w:sz w:val="22"/>
        </w:rPr>
      </w:pPr>
      <w:r>
        <w:rPr>
          <w:rFonts w:hint="eastAsia" w:ascii="Verdana" w:hAnsi="Verdana" w:cs="Verdana"/>
          <w:b/>
          <w:color w:val="000000"/>
          <w:sz w:val="22"/>
        </w:rPr>
        <w:t>About Us</w:t>
      </w:r>
    </w:p>
    <w:p w14:paraId="6F9C4136">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1B28628">
      <w:pPr>
        <w:rPr>
          <w:rFonts w:ascii="Verdana" w:hAnsi="Verdana" w:cs="Verdana"/>
          <w:color w:val="000000"/>
          <w:sz w:val="18"/>
        </w:rPr>
      </w:pPr>
    </w:p>
    <w:p w14:paraId="512B15A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B97E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992F37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09AE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42FB8"/>
    <w:rsid w:val="003743F3"/>
    <w:rsid w:val="00377574"/>
    <w:rsid w:val="003F2047"/>
    <w:rsid w:val="00444478"/>
    <w:rsid w:val="00453C05"/>
    <w:rsid w:val="00465307"/>
    <w:rsid w:val="0049468E"/>
    <w:rsid w:val="00622ACE"/>
    <w:rsid w:val="00665764"/>
    <w:rsid w:val="006E375F"/>
    <w:rsid w:val="00731840"/>
    <w:rsid w:val="007349B0"/>
    <w:rsid w:val="007359E2"/>
    <w:rsid w:val="0077681E"/>
    <w:rsid w:val="008D6808"/>
    <w:rsid w:val="00952937"/>
    <w:rsid w:val="00A16F8C"/>
    <w:rsid w:val="00A35CEF"/>
    <w:rsid w:val="00A722C4"/>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1BE42EB"/>
    <w:rsid w:val="15C25510"/>
    <w:rsid w:val="18AE427D"/>
    <w:rsid w:val="18E81EA3"/>
    <w:rsid w:val="19CD3162"/>
    <w:rsid w:val="1B974A15"/>
    <w:rsid w:val="1CDC4CA0"/>
    <w:rsid w:val="1FCC39C5"/>
    <w:rsid w:val="20F61905"/>
    <w:rsid w:val="2199682E"/>
    <w:rsid w:val="239E3C7B"/>
    <w:rsid w:val="27B55639"/>
    <w:rsid w:val="28D04B75"/>
    <w:rsid w:val="2A752F8B"/>
    <w:rsid w:val="2C4C0B46"/>
    <w:rsid w:val="2C665CEA"/>
    <w:rsid w:val="2E0F6BE8"/>
    <w:rsid w:val="314F3E41"/>
    <w:rsid w:val="335401C5"/>
    <w:rsid w:val="3B533162"/>
    <w:rsid w:val="3D2D0448"/>
    <w:rsid w:val="41BA1124"/>
    <w:rsid w:val="44D2482A"/>
    <w:rsid w:val="45872050"/>
    <w:rsid w:val="478E224E"/>
    <w:rsid w:val="485E04E5"/>
    <w:rsid w:val="487316FE"/>
    <w:rsid w:val="49B75FAC"/>
    <w:rsid w:val="4E4A4BF6"/>
    <w:rsid w:val="4F8D25ED"/>
    <w:rsid w:val="51AD130D"/>
    <w:rsid w:val="540A3FAB"/>
    <w:rsid w:val="562E484B"/>
    <w:rsid w:val="56834992"/>
    <w:rsid w:val="5930748A"/>
    <w:rsid w:val="59933671"/>
    <w:rsid w:val="5AA83521"/>
    <w:rsid w:val="5CC503A5"/>
    <w:rsid w:val="5EEA5249"/>
    <w:rsid w:val="609213A6"/>
    <w:rsid w:val="61BA6334"/>
    <w:rsid w:val="63C27F07"/>
    <w:rsid w:val="68AD6386"/>
    <w:rsid w:val="6CCA7437"/>
    <w:rsid w:val="6D7A6503"/>
    <w:rsid w:val="70757613"/>
    <w:rsid w:val="70B756B4"/>
    <w:rsid w:val="73270F88"/>
    <w:rsid w:val="74455F31"/>
    <w:rsid w:val="74CD01F5"/>
    <w:rsid w:val="7540100C"/>
    <w:rsid w:val="77935A18"/>
    <w:rsid w:val="77E23F0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Decoder/NDS3908I/3EEECN_2016071607544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247</Words>
  <Characters>1544</Characters>
  <Lines>12</Lines>
  <Paragraphs>3</Paragraphs>
  <TotalTime>27</TotalTime>
  <ScaleCrop>false</ScaleCrop>
  <LinksUpToDate>false</LinksUpToDate>
  <CharactersWithSpaces>1759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2026-08-11T06:43:50Z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