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733F7">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FUQ-41015 Quad Decoder 4 ASI Input 4 ASI Loop-Out 4 CVBS Stereo Audio MPEG-2 PAL-NTSC Auto Switch Broadcast Transmission</w:t>
      </w:r>
    </w:p>
    <w:p w14:paraId="7F27674C">
      <w:pPr>
        <w:pStyle w:val="6"/>
        <w:widowControl/>
        <w:spacing w:beforeAutospacing="0" w:afterAutospacing="0" w:line="324" w:lineRule="atLeast"/>
        <w:jc w:val="left"/>
      </w:pP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827091214"/>
            <wp:cNvGraphicFramePr/>
            <a:graphic xmlns:a="http://schemas.openxmlformats.org/drawingml/2006/main">
              <a:graphicData uri="http://schemas.openxmlformats.org/drawingml/2006/picture">
                <pic:pic xmlns:pic="http://schemas.openxmlformats.org/drawingml/2006/picture">
                  <pic:nvPicPr>
                    <pic:cNvPr id="1" name="图片 1" descr="3EEECN_20180827091214"/>
                    <pic:cNvPicPr/>
                  </pic:nvPicPr>
                  <pic:blipFill>
                    <a:blip r:embed="rId6"/>
                    <a:stretch>
                      <a:fillRect/>
                    </a:stretch>
                  </pic:blipFill>
                  <pic:spPr>
                    <a:xfrm>
                      <a:off x="0" y="0"/>
                      <a:ext cx="6181725" cy="3400425"/>
                    </a:xfrm>
                    <a:prstGeom prst="rect">
                      <a:avLst/>
                    </a:prstGeom>
                  </pic:spPr>
                </pic:pic>
              </a:graphicData>
            </a:graphic>
          </wp:inline>
        </w:drawing>
      </w:r>
      <w:bookmarkEnd w:id="0"/>
      <w:r>
        <w:rPr>
          <w:rFonts w:hint="eastAsia" w:ascii="Verdana" w:hAnsi="Verdana" w:cs="Verdana"/>
          <w:b/>
          <w:color w:val="000000"/>
          <w:sz w:val="28"/>
          <w:lang w:eastAsia="zh-CN"/>
        </w:rPr>
        <w:t>Product overview</w:t>
      </w:r>
    </w:p>
    <w:p w14:paraId="464F5833">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FUQ-41015 Quad Decoder decodes MPEG2 TS signals with 4 ASI inputs and outputs 4 separate A/V signals, including ASI loop outputs. It processes signals by decoding them into audio and video formats. Housed in a compact 1U rack unit, it features modular design for reduced space and power consumption. Ideal for broadcast systems, it ensures efficient and user-friendly operation and maintenance.</w:t>
      </w:r>
    </w:p>
    <w:p w14:paraId="3C7AE9F7">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4778FAC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Integrated four independent decoders in a 1U chassis  </w:t>
      </w:r>
    </w:p>
    <w:p w14:paraId="35800B7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4 ASI inputs, 4 A/V outputs, and 4 ASI loop outputs  </w:t>
      </w:r>
    </w:p>
    <w:p w14:paraId="083B125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an intuitive user interface for easy operation  </w:t>
      </w:r>
    </w:p>
    <w:p w14:paraId="4E5D71C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Automatically switches between PAL and NTSC video standards  </w:t>
      </w:r>
    </w:p>
    <w:p w14:paraId="54C760CE">
      <w:pPr>
        <w:pStyle w:val="6"/>
        <w:widowControl/>
        <w:spacing w:beforeAutospacing="0" w:afterAutospacing="0" w:line="324" w:lineRule="atLeast"/>
      </w:pPr>
      <w:r>
        <w:rPr>
          <w:rFonts w:hint="eastAsia" w:ascii="Verdana" w:hAnsi="Verdana" w:cs="Verdana"/>
          <w:color w:val="333333"/>
          <w:sz w:val="18"/>
          <w:szCs w:val="18"/>
          <w:shd w:val="clear" w:color="auto" w:fill="FEFCFD"/>
        </w:rPr>
        <w:t>Includes auto-save function to retain channel settings</w:t>
      </w:r>
    </w:p>
    <w:p w14:paraId="634243E1">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50"/>
        <w:gridCol w:w="2351"/>
        <w:gridCol w:w="5449"/>
      </w:tblGrid>
      <w:tr w14:paraId="7F3474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375" w:type="dxa"/>
            <w:gridSpan w:val="2"/>
            <w:shd w:val="clear" w:color="auto" w:fill="auto"/>
            <w:vAlign w:val="center"/>
          </w:tcPr>
          <w:p w14:paraId="4ED1901A">
            <w:pPr>
              <w:pStyle w:val="6"/>
              <w:widowControl/>
              <w:spacing w:beforeAutospacing="0" w:afterAutospacing="0" w:line="324" w:lineRule="atLeast"/>
            </w:pPr>
            <w:r>
              <w:rPr>
                <w:rStyle w:val="10"/>
              </w:rPr>
              <w:t>Signal Input</w:t>
            </w:r>
          </w:p>
        </w:tc>
        <w:tc>
          <w:tcPr>
            <w:tcW w:w="4275" w:type="dxa"/>
            <w:shd w:val="clear" w:color="auto" w:fill="auto"/>
            <w:vAlign w:val="center"/>
          </w:tcPr>
          <w:p w14:paraId="4A7C59C3">
            <w:pPr>
              <w:pStyle w:val="6"/>
              <w:widowControl/>
              <w:spacing w:beforeAutospacing="0" w:afterAutospacing="0" w:line="324" w:lineRule="atLeast"/>
            </w:pPr>
            <w:r>
              <w:t>4×ASI (BNC interface)</w:t>
            </w:r>
          </w:p>
        </w:tc>
      </w:tr>
      <w:tr w14:paraId="05A3A4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375" w:type="dxa"/>
            <w:gridSpan w:val="2"/>
            <w:shd w:val="clear" w:color="auto" w:fill="auto"/>
            <w:vAlign w:val="center"/>
          </w:tcPr>
          <w:p w14:paraId="7F430504">
            <w:pPr>
              <w:pStyle w:val="6"/>
              <w:widowControl/>
              <w:spacing w:beforeAutospacing="0" w:afterAutospacing="0" w:line="324" w:lineRule="atLeast"/>
            </w:pPr>
            <w:r>
              <w:rPr>
                <w:rStyle w:val="10"/>
              </w:rPr>
              <w:t>Decoding Standard</w:t>
            </w:r>
          </w:p>
        </w:tc>
        <w:tc>
          <w:tcPr>
            <w:tcW w:w="4275" w:type="dxa"/>
            <w:shd w:val="clear" w:color="auto" w:fill="auto"/>
            <w:vAlign w:val="center"/>
          </w:tcPr>
          <w:p w14:paraId="6E2ACF1A">
            <w:pPr>
              <w:pStyle w:val="6"/>
              <w:widowControl/>
              <w:spacing w:beforeAutospacing="0" w:afterAutospacing="0" w:line="324" w:lineRule="atLeast"/>
            </w:pPr>
            <w:r>
              <w:t>MPEG-2</w:t>
            </w:r>
          </w:p>
        </w:tc>
      </w:tr>
      <w:tr w14:paraId="29CC66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375" w:type="dxa"/>
            <w:gridSpan w:val="2"/>
            <w:shd w:val="clear" w:color="auto" w:fill="auto"/>
            <w:vAlign w:val="center"/>
          </w:tcPr>
          <w:p w14:paraId="1BBFF988">
            <w:pPr>
              <w:pStyle w:val="6"/>
              <w:widowControl/>
              <w:spacing w:beforeAutospacing="0" w:afterAutospacing="0" w:line="324" w:lineRule="atLeast"/>
            </w:pPr>
            <w:r>
              <w:rPr>
                <w:rStyle w:val="10"/>
              </w:rPr>
              <w:t>Video OUT</w:t>
            </w:r>
          </w:p>
        </w:tc>
        <w:tc>
          <w:tcPr>
            <w:tcW w:w="4275" w:type="dxa"/>
            <w:shd w:val="clear" w:color="auto" w:fill="auto"/>
            <w:vAlign w:val="center"/>
          </w:tcPr>
          <w:p w14:paraId="4F56AD7B">
            <w:pPr>
              <w:pStyle w:val="6"/>
              <w:widowControl/>
              <w:spacing w:beforeAutospacing="0" w:afterAutospacing="0" w:line="324" w:lineRule="atLeast"/>
            </w:pPr>
            <w:r>
              <w:t>4×CVBS (RCA interface)</w:t>
            </w:r>
          </w:p>
        </w:tc>
      </w:tr>
      <w:tr w14:paraId="1FDE71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375" w:type="dxa"/>
            <w:gridSpan w:val="2"/>
            <w:shd w:val="clear" w:color="auto" w:fill="auto"/>
            <w:vAlign w:val="center"/>
          </w:tcPr>
          <w:p w14:paraId="50100976">
            <w:pPr>
              <w:pStyle w:val="6"/>
              <w:widowControl/>
              <w:spacing w:beforeAutospacing="0" w:afterAutospacing="0" w:line="324" w:lineRule="atLeast"/>
            </w:pPr>
            <w:r>
              <w:rPr>
                <w:rStyle w:val="10"/>
              </w:rPr>
              <w:t>Audio OUT</w:t>
            </w:r>
          </w:p>
        </w:tc>
        <w:tc>
          <w:tcPr>
            <w:tcW w:w="4275" w:type="dxa"/>
            <w:shd w:val="clear" w:color="auto" w:fill="auto"/>
            <w:vAlign w:val="center"/>
          </w:tcPr>
          <w:p w14:paraId="29777CD0">
            <w:pPr>
              <w:pStyle w:val="6"/>
              <w:widowControl/>
              <w:spacing w:beforeAutospacing="0" w:afterAutospacing="0" w:line="324" w:lineRule="atLeast"/>
            </w:pPr>
            <w:r>
              <w:t>4×Stereo Audio (L/R)</w:t>
            </w:r>
          </w:p>
        </w:tc>
      </w:tr>
      <w:tr w14:paraId="225BA3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375" w:type="dxa"/>
            <w:gridSpan w:val="2"/>
            <w:shd w:val="clear" w:color="auto" w:fill="auto"/>
            <w:vAlign w:val="center"/>
          </w:tcPr>
          <w:p w14:paraId="08B346FB">
            <w:pPr>
              <w:pStyle w:val="6"/>
              <w:widowControl/>
              <w:spacing w:beforeAutospacing="0" w:afterAutospacing="0" w:line="324" w:lineRule="atLeast"/>
            </w:pPr>
            <w:r>
              <w:rPr>
                <w:rStyle w:val="10"/>
              </w:rPr>
              <w:t>ASI Loop OUT</w:t>
            </w:r>
          </w:p>
        </w:tc>
        <w:tc>
          <w:tcPr>
            <w:tcW w:w="4275" w:type="dxa"/>
            <w:shd w:val="clear" w:color="auto" w:fill="auto"/>
            <w:vAlign w:val="center"/>
          </w:tcPr>
          <w:p w14:paraId="4195E938">
            <w:pPr>
              <w:pStyle w:val="6"/>
              <w:widowControl/>
              <w:spacing w:beforeAutospacing="0" w:afterAutospacing="0" w:line="324" w:lineRule="atLeast"/>
            </w:pPr>
            <w:r>
              <w:t>4×BNC interface</w:t>
            </w:r>
          </w:p>
        </w:tc>
      </w:tr>
      <w:tr w14:paraId="6F3276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530" w:type="dxa"/>
            <w:vMerge w:val="restart"/>
            <w:shd w:val="clear" w:color="auto" w:fill="auto"/>
            <w:vAlign w:val="center"/>
          </w:tcPr>
          <w:p w14:paraId="1ADE992E">
            <w:pPr>
              <w:pStyle w:val="6"/>
              <w:widowControl/>
              <w:spacing w:beforeAutospacing="0" w:afterAutospacing="0" w:line="324" w:lineRule="atLeast"/>
            </w:pPr>
            <w:r>
              <w:rPr>
                <w:rStyle w:val="10"/>
              </w:rPr>
              <w:t>Miscellaneous</w:t>
            </w:r>
          </w:p>
        </w:tc>
        <w:tc>
          <w:tcPr>
            <w:tcW w:w="1830" w:type="dxa"/>
            <w:shd w:val="clear" w:color="auto" w:fill="auto"/>
            <w:vAlign w:val="center"/>
          </w:tcPr>
          <w:p w14:paraId="39B17913">
            <w:pPr>
              <w:pStyle w:val="6"/>
              <w:widowControl/>
              <w:spacing w:beforeAutospacing="0" w:afterAutospacing="0" w:line="324" w:lineRule="atLeast"/>
            </w:pPr>
            <w:r>
              <w:t>Management</w:t>
            </w:r>
          </w:p>
        </w:tc>
        <w:tc>
          <w:tcPr>
            <w:tcW w:w="4275" w:type="dxa"/>
            <w:shd w:val="clear" w:color="auto" w:fill="auto"/>
            <w:vAlign w:val="center"/>
          </w:tcPr>
          <w:p w14:paraId="0D484E9A">
            <w:pPr>
              <w:pStyle w:val="6"/>
              <w:widowControl/>
              <w:spacing w:beforeAutospacing="0" w:afterAutospacing="0" w:line="324" w:lineRule="atLeast"/>
            </w:pPr>
            <w:r>
              <w:t>LED /Control Buttons</w:t>
            </w:r>
          </w:p>
        </w:tc>
      </w:tr>
      <w:tr w14:paraId="4FA63C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530" w:type="dxa"/>
            <w:vMerge w:val="continue"/>
            <w:shd w:val="clear" w:color="auto" w:fill="auto"/>
            <w:vAlign w:val="center"/>
          </w:tcPr>
          <w:p w14:paraId="3EBBC91A">
            <w:pPr>
              <w:jc w:val="left"/>
              <w:rPr>
                <w:rFonts w:ascii="宋体"/>
                <w:sz w:val="24"/>
                <w:szCs w:val="24"/>
              </w:rPr>
            </w:pPr>
          </w:p>
        </w:tc>
        <w:tc>
          <w:tcPr>
            <w:tcW w:w="1830" w:type="dxa"/>
            <w:shd w:val="clear" w:color="auto" w:fill="auto"/>
            <w:vAlign w:val="center"/>
          </w:tcPr>
          <w:p w14:paraId="5CAEB1BF">
            <w:pPr>
              <w:pStyle w:val="6"/>
              <w:widowControl/>
              <w:spacing w:beforeAutospacing="0" w:afterAutospacing="0" w:line="324" w:lineRule="atLeast"/>
            </w:pPr>
            <w:r>
              <w:t>Dimension</w:t>
            </w:r>
          </w:p>
        </w:tc>
        <w:tc>
          <w:tcPr>
            <w:tcW w:w="4275" w:type="dxa"/>
            <w:shd w:val="clear" w:color="auto" w:fill="auto"/>
            <w:vAlign w:val="center"/>
          </w:tcPr>
          <w:p w14:paraId="5D44C3F0">
            <w:pPr>
              <w:pStyle w:val="6"/>
              <w:widowControl/>
              <w:spacing w:beforeAutospacing="0" w:afterAutospacing="0" w:line="324" w:lineRule="atLeast"/>
            </w:pPr>
            <w:r>
              <w:t>44mm×482mm×410mm</w:t>
            </w:r>
          </w:p>
        </w:tc>
      </w:tr>
      <w:tr w14:paraId="113B42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530" w:type="dxa"/>
            <w:vMerge w:val="continue"/>
            <w:shd w:val="clear" w:color="auto" w:fill="auto"/>
            <w:vAlign w:val="center"/>
          </w:tcPr>
          <w:p w14:paraId="250AE354">
            <w:pPr>
              <w:jc w:val="left"/>
              <w:rPr>
                <w:rFonts w:ascii="宋体"/>
                <w:sz w:val="24"/>
                <w:szCs w:val="24"/>
              </w:rPr>
            </w:pPr>
          </w:p>
        </w:tc>
        <w:tc>
          <w:tcPr>
            <w:tcW w:w="1830" w:type="dxa"/>
            <w:shd w:val="clear" w:color="auto" w:fill="auto"/>
            <w:vAlign w:val="center"/>
          </w:tcPr>
          <w:p w14:paraId="4EBA0D0F">
            <w:pPr>
              <w:pStyle w:val="6"/>
              <w:widowControl/>
              <w:spacing w:beforeAutospacing="0" w:afterAutospacing="0" w:line="324" w:lineRule="atLeast"/>
            </w:pPr>
            <w:r>
              <w:t>Temperature</w:t>
            </w:r>
          </w:p>
        </w:tc>
        <w:tc>
          <w:tcPr>
            <w:tcW w:w="4275" w:type="dxa"/>
            <w:shd w:val="clear" w:color="auto" w:fill="auto"/>
            <w:vAlign w:val="center"/>
          </w:tcPr>
          <w:p w14:paraId="7E26B5DC">
            <w:pPr>
              <w:pStyle w:val="6"/>
              <w:widowControl/>
              <w:spacing w:beforeAutospacing="0" w:afterAutospacing="0" w:line="324" w:lineRule="atLeast"/>
            </w:pPr>
            <w:r>
              <w:t>0~45℃(Operating), -20~80℃(Storage)</w:t>
            </w:r>
          </w:p>
        </w:tc>
      </w:tr>
      <w:tr w14:paraId="5A2E15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30" w:type="dxa"/>
            <w:vMerge w:val="continue"/>
            <w:shd w:val="clear" w:color="auto" w:fill="auto"/>
            <w:vAlign w:val="center"/>
          </w:tcPr>
          <w:p w14:paraId="63A403ED">
            <w:pPr>
              <w:jc w:val="left"/>
              <w:rPr>
                <w:rFonts w:ascii="宋体"/>
                <w:sz w:val="24"/>
                <w:szCs w:val="24"/>
              </w:rPr>
            </w:pPr>
          </w:p>
        </w:tc>
        <w:tc>
          <w:tcPr>
            <w:tcW w:w="1830" w:type="dxa"/>
            <w:shd w:val="clear" w:color="auto" w:fill="auto"/>
            <w:vAlign w:val="center"/>
          </w:tcPr>
          <w:p w14:paraId="6A938E48">
            <w:pPr>
              <w:pStyle w:val="6"/>
              <w:widowControl/>
              <w:spacing w:beforeAutospacing="0" w:afterAutospacing="0" w:line="324" w:lineRule="atLeast"/>
            </w:pPr>
            <w:r>
              <w:t>Power</w:t>
            </w:r>
          </w:p>
        </w:tc>
        <w:tc>
          <w:tcPr>
            <w:tcW w:w="4275" w:type="dxa"/>
            <w:shd w:val="clear" w:color="auto" w:fill="auto"/>
            <w:vAlign w:val="center"/>
          </w:tcPr>
          <w:p w14:paraId="59CD56C3">
            <w:pPr>
              <w:pStyle w:val="6"/>
              <w:widowControl/>
              <w:spacing w:beforeAutospacing="0" w:afterAutospacing="0" w:line="324" w:lineRule="atLeast"/>
            </w:pPr>
            <w:r>
              <w:t>AC 90~220V, 50/60Hz, 25W</w:t>
            </w:r>
          </w:p>
        </w:tc>
      </w:tr>
    </w:tbl>
    <w:p w14:paraId="3EAA24DC">
      <w:pPr>
        <w:pStyle w:val="6"/>
        <w:widowControl/>
        <w:spacing w:beforeAutospacing="0" w:afterAutospacing="0" w:line="324" w:lineRule="atLeast"/>
      </w:pPr>
      <w:r>
        <w:rPr>
          <w:rFonts w:ascii="Verdana" w:hAnsi="Verdana" w:cs="Verdana"/>
          <w:color w:val="333333"/>
          <w:sz w:val="18"/>
          <w:szCs w:val="18"/>
          <w:shd w:val="clear" w:color="auto" w:fill="FEFCFD"/>
        </w:rPr>
        <w:t> </w:t>
      </w:r>
    </w:p>
    <w:p w14:paraId="5E7C1EEE">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5751C02F">
      <w:pPr>
        <w:pStyle w:val="6"/>
        <w:widowControl/>
        <w:spacing w:beforeAutospacing="0" w:afterAutospacing="0" w:line="324" w:lineRule="atLeast"/>
      </w:pPr>
      <w:r>
        <w:rPr>
          <w:rFonts w:ascii="Verdana" w:hAnsi="Verdana" w:cs="Verdana"/>
          <w:color w:val="333333"/>
          <w:sz w:val="18"/>
          <w:szCs w:val="18"/>
          <w:shd w:val="clear" w:color="auto" w:fill="FEFCFD"/>
        </w:rPr>
        <w:t> </w:t>
      </w:r>
    </w:p>
    <w:p w14:paraId="702CF2C5">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8075" cy="4020820"/>
            <wp:effectExtent l="0" t="0" r="3175" b="177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8075" cy="4020820"/>
                    </a:xfrm>
                    <a:prstGeom prst="rect">
                      <a:avLst/>
                    </a:prstGeom>
                    <a:noFill/>
                    <a:ln w="9525">
                      <a:noFill/>
                    </a:ln>
                  </pic:spPr>
                </pic:pic>
              </a:graphicData>
            </a:graphic>
          </wp:inline>
        </w:drawing>
      </w:r>
    </w:p>
    <w:p w14:paraId="0F158E97">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36C31F50">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674C9D40">
      <w:pPr>
        <w:widowControl/>
        <w:shd w:val="clear" w:color="auto" w:fill="F2F2F4"/>
        <w:jc w:val="left"/>
        <w:rPr>
          <w:rFonts w:ascii="Verdana" w:hAnsi="Verdana" w:cs="Verdana"/>
          <w:color w:val="333333"/>
          <w:sz w:val="18"/>
          <w:szCs w:val="18"/>
        </w:rPr>
      </w:pPr>
    </w:p>
    <w:p w14:paraId="79343079">
      <w:pPr>
        <w:rPr>
          <w:rFonts w:ascii="Verdana" w:hAnsi="Verdana" w:cs="Verdana"/>
          <w:color w:val="000000"/>
          <w:sz w:val="28"/>
        </w:rPr>
      </w:pPr>
    </w:p>
    <w:p w14:paraId="29CAA793">
      <w:pPr>
        <w:rPr>
          <w:rFonts w:ascii="Verdana" w:hAnsi="Verdana" w:cs="Verdana"/>
          <w:b/>
          <w:color w:val="000000"/>
          <w:sz w:val="22"/>
        </w:rPr>
      </w:pPr>
      <w:r>
        <w:rPr>
          <w:rFonts w:hint="eastAsia" w:ascii="Verdana" w:hAnsi="Verdana" w:cs="Verdana"/>
          <w:b/>
          <w:color w:val="000000"/>
          <w:sz w:val="22"/>
        </w:rPr>
        <w:t>About Us</w:t>
      </w:r>
    </w:p>
    <w:p w14:paraId="0BC35FE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972D4D1">
      <w:pPr>
        <w:rPr>
          <w:rFonts w:ascii="Verdana" w:hAnsi="Verdana" w:cs="Verdana"/>
          <w:color w:val="000000"/>
          <w:sz w:val="18"/>
        </w:rPr>
      </w:pPr>
    </w:p>
    <w:p w14:paraId="55DBE232">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8ADA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AF8EC0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CF9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0524A"/>
    <w:rsid w:val="00952937"/>
    <w:rsid w:val="009D2513"/>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915417"/>
    <w:rsid w:val="033D434A"/>
    <w:rsid w:val="0A680B1B"/>
    <w:rsid w:val="0E714EC9"/>
    <w:rsid w:val="0E7B4F16"/>
    <w:rsid w:val="0EFE096C"/>
    <w:rsid w:val="0FC87CEA"/>
    <w:rsid w:val="101C4557"/>
    <w:rsid w:val="158A406E"/>
    <w:rsid w:val="15C25510"/>
    <w:rsid w:val="18AE427D"/>
    <w:rsid w:val="18E81EA3"/>
    <w:rsid w:val="1B974A15"/>
    <w:rsid w:val="1CDC4CA0"/>
    <w:rsid w:val="1DFC3EFE"/>
    <w:rsid w:val="1FCC39C5"/>
    <w:rsid w:val="20F61905"/>
    <w:rsid w:val="2199682E"/>
    <w:rsid w:val="238473DA"/>
    <w:rsid w:val="239E3C7B"/>
    <w:rsid w:val="27B55639"/>
    <w:rsid w:val="2A752F8B"/>
    <w:rsid w:val="2C665CEA"/>
    <w:rsid w:val="2D766812"/>
    <w:rsid w:val="2E0F6BE8"/>
    <w:rsid w:val="314F3E41"/>
    <w:rsid w:val="392B4514"/>
    <w:rsid w:val="3B533162"/>
    <w:rsid w:val="433A1E3A"/>
    <w:rsid w:val="45872050"/>
    <w:rsid w:val="478E224E"/>
    <w:rsid w:val="485E04E5"/>
    <w:rsid w:val="487316FE"/>
    <w:rsid w:val="49B75FAC"/>
    <w:rsid w:val="4D414E55"/>
    <w:rsid w:val="4E4A4BF6"/>
    <w:rsid w:val="4F8D25ED"/>
    <w:rsid w:val="51AD130D"/>
    <w:rsid w:val="51BC40E2"/>
    <w:rsid w:val="540A3FAB"/>
    <w:rsid w:val="562E484B"/>
    <w:rsid w:val="56834992"/>
    <w:rsid w:val="5930748A"/>
    <w:rsid w:val="59933671"/>
    <w:rsid w:val="5AA83521"/>
    <w:rsid w:val="5EEA5249"/>
    <w:rsid w:val="60512FBD"/>
    <w:rsid w:val="609213A6"/>
    <w:rsid w:val="61BA6334"/>
    <w:rsid w:val="63C27F07"/>
    <w:rsid w:val="68AD6386"/>
    <w:rsid w:val="6D7A6503"/>
    <w:rsid w:val="70757613"/>
    <w:rsid w:val="70B756B4"/>
    <w:rsid w:val="73270F88"/>
    <w:rsid w:val="74364298"/>
    <w:rsid w:val="74455F31"/>
    <w:rsid w:val="7540100C"/>
    <w:rsid w:val="77935A18"/>
    <w:rsid w:val="7B8E7427"/>
    <w:rsid w:val="7D3D2F8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Decoder/NDS3904%20Quad%20Decoder/3EEECN_20130821080556.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224</Words>
  <Characters>1334</Characters>
  <Lines>10</Lines>
  <Paragraphs>2</Paragraphs>
  <TotalTime>0</TotalTime>
  <ScaleCrop>false</ScaleCrop>
  <LinksUpToDate>false</LinksUpToDate>
  <CharactersWithSpaces>1542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2026-08-11T06:50:15Z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