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B4E5FF">
      <w:pPr>
        <w:pStyle w:val="6"/>
        <w:widowControl/>
        <w:spacing w:beforeAutospacing="0" w:afterAutospacing="0" w:line="324" w:lineRule="atLeast"/>
        <w:jc w:val="left"/>
        <w:rPr>
          <w:rFonts w:hint="eastAsia" w:eastAsiaTheme="minorEastAsia"/>
          <w:lang w:eastAsia="zh-CN"/>
        </w:rPr>
      </w:pPr>
      <w:r>
        <w:rPr>
          <w:rFonts w:hint="eastAsia" w:ascii="Verdana" w:hAnsi="Verdana" w:cs="Verdana"/>
          <w:b/>
          <w:i w:val="0"/>
          <w:strike w:val="0"/>
          <w:color w:val="000000"/>
          <w:sz w:val="22"/>
          <w:lang w:eastAsia="zh-CN"/>
        </w:rPr>
        <w:t>FMUSER FUQ-4213J EIT Multiplexer 12 ASI Inputs 2 ASI Outputs 2 Gigabit IP Outputs ISO13818-EN300468 Compliant EIT Multiplexing Digital TV</w:t>
      </w:r>
      <w:r>
        <w:rPr>
          <w:rFonts w:hint="eastAsia" w:ascii="Verdana" w:hAnsi="Verdana" w:cs="Verdana"/>
          <w:b/>
          <w:i w:val="0"/>
          <w:strike w:val="0"/>
          <w:color w:val="000000"/>
          <w:sz w:val="22"/>
          <w:lang w:val="en-US" w:eastAsia="zh-CN"/>
        </w:rPr>
        <w:t xml:space="preserve"> </w:t>
      </w:r>
      <w:r>
        <w:rPr>
          <w:rFonts w:hint="eastAsia" w:ascii="Verdana" w:hAnsi="Verdana" w:cs="Verdana"/>
          <w:b/>
          <w:i w:val="0"/>
          <w:strike w:val="0"/>
          <w:color w:val="000000"/>
          <w:sz w:val="22"/>
          <w:lang w:eastAsia="zh-CN"/>
        </w:rPr>
        <w:t>Headend</w:t>
      </w:r>
      <w:bookmarkStart w:id="0" w:name="_GoBack"/>
      <w:bookmarkEnd w:id="0"/>
      <w:r>
        <w:rPr>
          <w:rFonts w:hint="eastAsia" w:ascii="Verdana" w:hAnsi="Verdana" w:cs="Verdana"/>
          <w:b/>
          <w:i w:val="0"/>
          <w:strike w:val="0"/>
          <w:color w:val="000000"/>
          <w:sz w:val="22"/>
          <w:lang w:eastAsia="zh-CN"/>
        </w:rPr>
        <w:t xml:space="preserve"> </w:t>
      </w:r>
      <w:r>
        <w:rPr>
          <w:rFonts w:ascii="Verdana" w:hAnsi="Verdana" w:cs="Verdana"/>
          <w:color w:val="000000"/>
          <w:sz w:val="28"/>
        </w:rPr>
        <w:drawing>
          <wp:inline distT="0" distB="0" distL="114300" distR="114300">
            <wp:extent cx="6181725" cy="3400425"/>
            <wp:effectExtent l="0" t="0" r="9525" b="9525"/>
            <wp:docPr id="1" name="图片 1" descr="3EEECN_20180827030741"/>
            <wp:cNvGraphicFramePr/>
            <a:graphic xmlns:a="http://schemas.openxmlformats.org/drawingml/2006/main">
              <a:graphicData uri="http://schemas.openxmlformats.org/drawingml/2006/picture">
                <pic:pic xmlns:pic="http://schemas.openxmlformats.org/drawingml/2006/picture">
                  <pic:nvPicPr>
                    <pic:cNvPr id="1" name="图片 1" descr="3EEECN_20180827030741"/>
                    <pic:cNvPicPr/>
                  </pic:nvPicPr>
                  <pic:blipFill>
                    <a:blip r:embed="rId6"/>
                    <a:stretch>
                      <a:fillRect/>
                    </a:stretch>
                  </pic:blipFill>
                  <pic:spPr>
                    <a:xfrm>
                      <a:off x="0" y="0"/>
                      <a:ext cx="6181725" cy="3400425"/>
                    </a:xfrm>
                    <a:prstGeom prst="rect">
                      <a:avLst/>
                    </a:prstGeom>
                  </pic:spPr>
                </pic:pic>
              </a:graphicData>
            </a:graphic>
          </wp:inline>
        </w:drawing>
      </w:r>
      <w:r>
        <w:rPr>
          <w:rStyle w:val="10"/>
          <w:rFonts w:hint="eastAsia" w:ascii="Verdana" w:hAnsi="Verdana" w:cs="Verdana"/>
          <w:color w:val="333333"/>
          <w:sz w:val="18"/>
          <w:szCs w:val="18"/>
          <w:shd w:val="clear" w:color="auto" w:fill="FEFCFD"/>
          <w:lang w:eastAsia="zh-CN"/>
        </w:rPr>
        <w:t>Product overview</w:t>
      </w:r>
    </w:p>
    <w:p w14:paraId="71D96316">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The FMUSER FUQ-4213J EIT Multiplexer automates EIT table multiplexing with program streams, featuring 12 ASI inputs, 2 ASI outputs, and 2 IP gigabit outputs. It processes signals by editing PSI/SI information and adjusting PCR, while supporting TS over UDP transmission. Controlled via LCD/keyboard and NMS, it complies with ISO13818/EN300468 standards. Ideal for DTV head-end systems, it eliminates external EPG servers.</w:t>
      </w:r>
      <w:r>
        <w:rPr>
          <w:rFonts w:ascii="Verdana" w:hAnsi="Verdana" w:cs="Verdana"/>
          <w:color w:val="333333"/>
          <w:sz w:val="18"/>
          <w:szCs w:val="18"/>
          <w:shd w:val="clear" w:color="auto" w:fill="FEFCFD"/>
        </w:rPr>
        <w:t> </w:t>
      </w:r>
    </w:p>
    <w:p w14:paraId="1B7E5521">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18"/>
          <w:szCs w:val="18"/>
          <w:shd w:val="clear" w:color="auto" w:fill="FEFCFD"/>
          <w:lang w:eastAsia="zh-CN"/>
        </w:rPr>
        <w:t>Key feature</w:t>
      </w:r>
    </w:p>
    <w:p w14:paraId="5AC436FC">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Automatically multiplexes EIT tables with program streams, removing EPG infrastructure.  </w:t>
      </w:r>
    </w:p>
    <w:p w14:paraId="29C47FB4">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Features 12 ASI inputs and 2 ASI outputs for flexible transport stream handling.  </w:t>
      </w:r>
    </w:p>
    <w:p w14:paraId="696A8E3A">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Edits PSI/SI information and ensures ISO13818/EN300468 compliance.  </w:t>
      </w:r>
    </w:p>
    <w:p w14:paraId="14B4AA6F">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Provides dual IP gigabit outputs for TS over UDP up to 215Mbps, supporting unicast/multicast.  </w:t>
      </w:r>
    </w:p>
    <w:p w14:paraId="40F25105">
      <w:pPr>
        <w:pStyle w:val="6"/>
        <w:widowControl/>
        <w:spacing w:beforeAutospacing="0" w:afterAutospacing="0" w:line="324" w:lineRule="atLeast"/>
      </w:pPr>
      <w:r>
        <w:rPr>
          <w:rFonts w:hint="eastAsia" w:ascii="Verdana" w:hAnsi="Verdana" w:cs="Verdana"/>
          <w:color w:val="333333"/>
          <w:sz w:val="18"/>
          <w:szCs w:val="18"/>
          <w:shd w:val="clear" w:color="auto" w:fill="FEFCFD"/>
        </w:rPr>
        <w:t>Offers centralized control via LCD/keyboard and NMS for real-time management.</w:t>
      </w:r>
    </w:p>
    <w:p w14:paraId="52E3479B">
      <w:pPr>
        <w:pStyle w:val="6"/>
        <w:widowControl/>
        <w:spacing w:beforeAutospacing="0" w:afterAutospacing="0" w:line="324" w:lineRule="atLeast"/>
      </w:pPr>
      <w:r>
        <w:rPr>
          <w:rStyle w:val="10"/>
          <w:rFonts w:ascii="Verdana" w:hAnsi="Verdana" w:cs="Verdana"/>
          <w:color w:val="333333"/>
          <w:sz w:val="18"/>
          <w:szCs w:val="18"/>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605"/>
        <w:gridCol w:w="2123"/>
        <w:gridCol w:w="5022"/>
      </w:tblGrid>
      <w:tr w14:paraId="388908D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265" w:type="dxa"/>
            <w:vMerge w:val="restart"/>
            <w:shd w:val="clear" w:color="auto" w:fill="auto"/>
            <w:vAlign w:val="center"/>
          </w:tcPr>
          <w:p w14:paraId="125DEE23">
            <w:pPr>
              <w:pStyle w:val="6"/>
              <w:widowControl/>
              <w:spacing w:beforeAutospacing="0" w:afterAutospacing="0" w:line="324" w:lineRule="atLeast"/>
            </w:pPr>
            <w:r>
              <w:rPr>
                <w:rStyle w:val="10"/>
              </w:rPr>
              <w:t>Input</w:t>
            </w:r>
          </w:p>
        </w:tc>
        <w:tc>
          <w:tcPr>
            <w:tcW w:w="6210" w:type="dxa"/>
            <w:gridSpan w:val="2"/>
            <w:shd w:val="clear" w:color="auto" w:fill="auto"/>
            <w:vAlign w:val="center"/>
          </w:tcPr>
          <w:p w14:paraId="68D653DD">
            <w:pPr>
              <w:pStyle w:val="6"/>
              <w:widowControl/>
              <w:spacing w:beforeAutospacing="0" w:afterAutospacing="0" w:line="324" w:lineRule="atLeast"/>
            </w:pPr>
            <w:r>
              <w:t>Supporting both packet and byte mode TS input</w:t>
            </w:r>
          </w:p>
        </w:tc>
      </w:tr>
      <w:tr w14:paraId="2467647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265" w:type="dxa"/>
            <w:vMerge w:val="continue"/>
            <w:shd w:val="clear" w:color="auto" w:fill="auto"/>
            <w:vAlign w:val="center"/>
          </w:tcPr>
          <w:p w14:paraId="49CABAEB">
            <w:pPr>
              <w:jc w:val="left"/>
              <w:rPr>
                <w:rFonts w:ascii="宋体"/>
                <w:sz w:val="24"/>
                <w:szCs w:val="24"/>
              </w:rPr>
            </w:pPr>
          </w:p>
        </w:tc>
        <w:tc>
          <w:tcPr>
            <w:tcW w:w="6210" w:type="dxa"/>
            <w:gridSpan w:val="2"/>
            <w:shd w:val="clear" w:color="auto" w:fill="auto"/>
            <w:vAlign w:val="center"/>
          </w:tcPr>
          <w:p w14:paraId="5322B5FC">
            <w:pPr>
              <w:pStyle w:val="6"/>
              <w:widowControl/>
              <w:spacing w:beforeAutospacing="0" w:afterAutospacing="0" w:line="324" w:lineRule="atLeast"/>
            </w:pPr>
            <w:r>
              <w:t>Supporting 188/204Byte transport stream packet</w:t>
            </w:r>
          </w:p>
        </w:tc>
      </w:tr>
      <w:tr w14:paraId="6E5523B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265" w:type="dxa"/>
            <w:vMerge w:val="continue"/>
            <w:shd w:val="clear" w:color="auto" w:fill="auto"/>
            <w:vAlign w:val="center"/>
          </w:tcPr>
          <w:p w14:paraId="7E650E0A">
            <w:pPr>
              <w:jc w:val="left"/>
              <w:rPr>
                <w:rFonts w:ascii="宋体"/>
                <w:sz w:val="24"/>
                <w:szCs w:val="24"/>
              </w:rPr>
            </w:pPr>
          </w:p>
        </w:tc>
        <w:tc>
          <w:tcPr>
            <w:tcW w:w="6210" w:type="dxa"/>
            <w:gridSpan w:val="2"/>
            <w:shd w:val="clear" w:color="auto" w:fill="auto"/>
            <w:vAlign w:val="center"/>
          </w:tcPr>
          <w:p w14:paraId="5ED5625B">
            <w:pPr>
              <w:pStyle w:val="6"/>
              <w:widowControl/>
              <w:spacing w:beforeAutospacing="0" w:afterAutospacing="0" w:line="324" w:lineRule="atLeast"/>
            </w:pPr>
            <w:r>
              <w:t>12 ASI inputs</w:t>
            </w:r>
          </w:p>
        </w:tc>
      </w:tr>
      <w:tr w14:paraId="789FDD1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265" w:type="dxa"/>
            <w:vMerge w:val="continue"/>
            <w:shd w:val="clear" w:color="auto" w:fill="auto"/>
            <w:vAlign w:val="center"/>
          </w:tcPr>
          <w:p w14:paraId="654BF607">
            <w:pPr>
              <w:jc w:val="left"/>
              <w:rPr>
                <w:rFonts w:ascii="宋体"/>
                <w:sz w:val="24"/>
                <w:szCs w:val="24"/>
              </w:rPr>
            </w:pPr>
          </w:p>
        </w:tc>
        <w:tc>
          <w:tcPr>
            <w:tcW w:w="6210" w:type="dxa"/>
            <w:gridSpan w:val="2"/>
            <w:shd w:val="clear" w:color="auto" w:fill="auto"/>
            <w:vAlign w:val="center"/>
          </w:tcPr>
          <w:p w14:paraId="3A64E64E">
            <w:pPr>
              <w:pStyle w:val="6"/>
              <w:widowControl/>
              <w:spacing w:beforeAutospacing="0" w:afterAutospacing="0" w:line="324" w:lineRule="atLeast"/>
            </w:pPr>
            <w:r>
              <w:t>ASI input connector: BNC, impedance 75Ω</w:t>
            </w:r>
          </w:p>
        </w:tc>
      </w:tr>
      <w:tr w14:paraId="338823F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265" w:type="dxa"/>
            <w:vMerge w:val="restart"/>
            <w:shd w:val="clear" w:color="auto" w:fill="auto"/>
            <w:vAlign w:val="center"/>
          </w:tcPr>
          <w:p w14:paraId="2F608794">
            <w:pPr>
              <w:pStyle w:val="6"/>
              <w:widowControl/>
              <w:spacing w:beforeAutospacing="0" w:afterAutospacing="0" w:line="324" w:lineRule="atLeast"/>
            </w:pPr>
            <w:r>
              <w:rPr>
                <w:rStyle w:val="10"/>
              </w:rPr>
              <w:t>ASI Output</w:t>
            </w:r>
          </w:p>
        </w:tc>
        <w:tc>
          <w:tcPr>
            <w:tcW w:w="6210" w:type="dxa"/>
            <w:gridSpan w:val="2"/>
            <w:shd w:val="clear" w:color="auto" w:fill="auto"/>
            <w:vAlign w:val="center"/>
          </w:tcPr>
          <w:p w14:paraId="2B2A048C">
            <w:pPr>
              <w:pStyle w:val="6"/>
              <w:widowControl/>
              <w:spacing w:beforeAutospacing="0" w:afterAutospacing="0" w:line="324" w:lineRule="atLeast"/>
            </w:pPr>
            <w:r>
              <w:t>Two separate ASI outputs</w:t>
            </w:r>
          </w:p>
        </w:tc>
      </w:tr>
      <w:tr w14:paraId="202B49F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265" w:type="dxa"/>
            <w:vMerge w:val="continue"/>
            <w:shd w:val="clear" w:color="auto" w:fill="auto"/>
            <w:vAlign w:val="center"/>
          </w:tcPr>
          <w:p w14:paraId="6F0BB959">
            <w:pPr>
              <w:jc w:val="left"/>
              <w:rPr>
                <w:rFonts w:ascii="宋体"/>
                <w:sz w:val="24"/>
                <w:szCs w:val="24"/>
              </w:rPr>
            </w:pPr>
          </w:p>
        </w:tc>
        <w:tc>
          <w:tcPr>
            <w:tcW w:w="6210" w:type="dxa"/>
            <w:gridSpan w:val="2"/>
            <w:shd w:val="clear" w:color="auto" w:fill="auto"/>
            <w:vAlign w:val="center"/>
          </w:tcPr>
          <w:p w14:paraId="49544C93">
            <w:pPr>
              <w:pStyle w:val="6"/>
              <w:widowControl/>
              <w:spacing w:beforeAutospacing="0" w:afterAutospacing="0" w:line="324" w:lineRule="atLeast"/>
            </w:pPr>
            <w:r>
              <w:t>Maximum bit rate: 215Mbps</w:t>
            </w:r>
          </w:p>
        </w:tc>
      </w:tr>
      <w:tr w14:paraId="36ACF85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265" w:type="dxa"/>
            <w:vMerge w:val="restart"/>
            <w:shd w:val="clear" w:color="auto" w:fill="auto"/>
            <w:vAlign w:val="center"/>
          </w:tcPr>
          <w:p w14:paraId="39E2D6AB">
            <w:pPr>
              <w:pStyle w:val="6"/>
              <w:widowControl/>
              <w:spacing w:beforeAutospacing="0" w:afterAutospacing="0" w:line="324" w:lineRule="atLeast"/>
            </w:pPr>
            <w:r>
              <w:rPr>
                <w:rStyle w:val="10"/>
              </w:rPr>
              <w:t>IP Output</w:t>
            </w:r>
          </w:p>
        </w:tc>
        <w:tc>
          <w:tcPr>
            <w:tcW w:w="6210" w:type="dxa"/>
            <w:gridSpan w:val="2"/>
            <w:shd w:val="clear" w:color="auto" w:fill="auto"/>
            <w:vAlign w:val="center"/>
          </w:tcPr>
          <w:p w14:paraId="2A3006BF">
            <w:pPr>
              <w:pStyle w:val="6"/>
              <w:widowControl/>
              <w:spacing w:beforeAutospacing="0" w:afterAutospacing="0" w:line="324" w:lineRule="atLeast"/>
            </w:pPr>
            <w:r>
              <w:t>Two separate gigabit outputs</w:t>
            </w:r>
          </w:p>
        </w:tc>
      </w:tr>
      <w:tr w14:paraId="3B85CE7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265" w:type="dxa"/>
            <w:vMerge w:val="continue"/>
            <w:shd w:val="clear" w:color="auto" w:fill="auto"/>
            <w:vAlign w:val="center"/>
          </w:tcPr>
          <w:p w14:paraId="7D779980">
            <w:pPr>
              <w:jc w:val="left"/>
              <w:rPr>
                <w:rFonts w:ascii="宋体"/>
                <w:sz w:val="24"/>
                <w:szCs w:val="24"/>
              </w:rPr>
            </w:pPr>
          </w:p>
        </w:tc>
        <w:tc>
          <w:tcPr>
            <w:tcW w:w="6210" w:type="dxa"/>
            <w:gridSpan w:val="2"/>
            <w:shd w:val="clear" w:color="auto" w:fill="auto"/>
            <w:vAlign w:val="center"/>
          </w:tcPr>
          <w:p w14:paraId="2CB80032">
            <w:pPr>
              <w:pStyle w:val="6"/>
              <w:widowControl/>
              <w:spacing w:beforeAutospacing="0" w:afterAutospacing="0" w:line="324" w:lineRule="atLeast"/>
            </w:pPr>
            <w:r>
              <w:t>Maximum output bit rate: 215 Mbps</w:t>
            </w:r>
          </w:p>
        </w:tc>
      </w:tr>
      <w:tr w14:paraId="58BFB98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265" w:type="dxa"/>
            <w:vMerge w:val="continue"/>
            <w:shd w:val="clear" w:color="auto" w:fill="auto"/>
            <w:vAlign w:val="center"/>
          </w:tcPr>
          <w:p w14:paraId="6ACDE84B">
            <w:pPr>
              <w:jc w:val="left"/>
              <w:rPr>
                <w:rFonts w:ascii="宋体"/>
                <w:sz w:val="24"/>
                <w:szCs w:val="24"/>
              </w:rPr>
            </w:pPr>
          </w:p>
        </w:tc>
        <w:tc>
          <w:tcPr>
            <w:tcW w:w="6210" w:type="dxa"/>
            <w:gridSpan w:val="2"/>
            <w:shd w:val="clear" w:color="auto" w:fill="auto"/>
            <w:vAlign w:val="center"/>
          </w:tcPr>
          <w:p w14:paraId="307407BF">
            <w:pPr>
              <w:pStyle w:val="6"/>
              <w:widowControl/>
              <w:spacing w:beforeAutospacing="0" w:afterAutospacing="0" w:line="324" w:lineRule="atLeast"/>
            </w:pPr>
            <w:r>
              <w:t>UDP output, support unicast and multicast</w:t>
            </w:r>
          </w:p>
        </w:tc>
      </w:tr>
      <w:tr w14:paraId="186E22B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265" w:type="dxa"/>
            <w:vMerge w:val="restart"/>
            <w:shd w:val="clear" w:color="auto" w:fill="auto"/>
            <w:vAlign w:val="center"/>
          </w:tcPr>
          <w:p w14:paraId="3594CB82">
            <w:pPr>
              <w:pStyle w:val="6"/>
              <w:widowControl/>
              <w:spacing w:beforeAutospacing="0" w:afterAutospacing="0" w:line="324" w:lineRule="atLeast"/>
            </w:pPr>
            <w:r>
              <w:rPr>
                <w:rStyle w:val="10"/>
              </w:rPr>
              <w:t>Miscellaneous</w:t>
            </w:r>
          </w:p>
        </w:tc>
        <w:tc>
          <w:tcPr>
            <w:tcW w:w="1845" w:type="dxa"/>
            <w:shd w:val="clear" w:color="auto" w:fill="auto"/>
            <w:vAlign w:val="center"/>
          </w:tcPr>
          <w:p w14:paraId="725CA97D">
            <w:pPr>
              <w:pStyle w:val="6"/>
              <w:widowControl/>
              <w:spacing w:beforeAutospacing="0" w:afterAutospacing="0" w:line="324" w:lineRule="atLeast"/>
            </w:pPr>
            <w:r>
              <w:t>Size</w:t>
            </w:r>
          </w:p>
        </w:tc>
        <w:tc>
          <w:tcPr>
            <w:tcW w:w="4365" w:type="dxa"/>
            <w:shd w:val="clear" w:color="auto" w:fill="auto"/>
            <w:vAlign w:val="center"/>
          </w:tcPr>
          <w:p w14:paraId="794FFA4B">
            <w:pPr>
              <w:pStyle w:val="6"/>
              <w:widowControl/>
              <w:spacing w:beforeAutospacing="0" w:afterAutospacing="0" w:line="324" w:lineRule="atLeast"/>
            </w:pPr>
            <w:r>
              <w:t>44mm X 482mm X 410mm</w:t>
            </w:r>
          </w:p>
        </w:tc>
      </w:tr>
      <w:tr w14:paraId="7D276FD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5" w:hRule="atLeast"/>
          <w:tblCellSpacing w:w="0" w:type="dxa"/>
        </w:trPr>
        <w:tc>
          <w:tcPr>
            <w:tcW w:w="2265" w:type="dxa"/>
            <w:vMerge w:val="continue"/>
            <w:shd w:val="clear" w:color="auto" w:fill="auto"/>
            <w:vAlign w:val="center"/>
          </w:tcPr>
          <w:p w14:paraId="775A9B06">
            <w:pPr>
              <w:jc w:val="left"/>
              <w:rPr>
                <w:rFonts w:ascii="宋体"/>
                <w:sz w:val="24"/>
                <w:szCs w:val="24"/>
              </w:rPr>
            </w:pPr>
          </w:p>
        </w:tc>
        <w:tc>
          <w:tcPr>
            <w:tcW w:w="1845" w:type="dxa"/>
            <w:shd w:val="clear" w:color="auto" w:fill="auto"/>
            <w:vAlign w:val="center"/>
          </w:tcPr>
          <w:p w14:paraId="0DBCF208">
            <w:pPr>
              <w:pStyle w:val="6"/>
              <w:widowControl/>
              <w:spacing w:beforeAutospacing="0" w:afterAutospacing="0" w:line="324" w:lineRule="atLeast"/>
            </w:pPr>
            <w:r>
              <w:t>Environment</w:t>
            </w:r>
          </w:p>
        </w:tc>
        <w:tc>
          <w:tcPr>
            <w:tcW w:w="4365" w:type="dxa"/>
            <w:shd w:val="clear" w:color="auto" w:fill="auto"/>
            <w:vAlign w:val="center"/>
          </w:tcPr>
          <w:p w14:paraId="65A57A86">
            <w:pPr>
              <w:pStyle w:val="6"/>
              <w:widowControl/>
              <w:spacing w:beforeAutospacing="0" w:afterAutospacing="0" w:line="324" w:lineRule="atLeast"/>
            </w:pPr>
            <w:r>
              <w:t>0~45℃(operation)；-20~80℃(storage)</w:t>
            </w:r>
          </w:p>
        </w:tc>
      </w:tr>
      <w:tr w14:paraId="36BB220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tblCellSpacing w:w="0" w:type="dxa"/>
        </w:trPr>
        <w:tc>
          <w:tcPr>
            <w:tcW w:w="2265" w:type="dxa"/>
            <w:vMerge w:val="continue"/>
            <w:shd w:val="clear" w:color="auto" w:fill="auto"/>
            <w:vAlign w:val="center"/>
          </w:tcPr>
          <w:p w14:paraId="275623AA">
            <w:pPr>
              <w:jc w:val="left"/>
              <w:rPr>
                <w:rFonts w:ascii="宋体"/>
                <w:sz w:val="24"/>
                <w:szCs w:val="24"/>
              </w:rPr>
            </w:pPr>
          </w:p>
        </w:tc>
        <w:tc>
          <w:tcPr>
            <w:tcW w:w="1845" w:type="dxa"/>
            <w:shd w:val="clear" w:color="auto" w:fill="auto"/>
            <w:vAlign w:val="center"/>
          </w:tcPr>
          <w:p w14:paraId="79E3BCFB">
            <w:pPr>
              <w:pStyle w:val="6"/>
              <w:widowControl/>
              <w:spacing w:beforeAutospacing="0" w:afterAutospacing="0" w:line="324" w:lineRule="atLeast"/>
            </w:pPr>
            <w:r>
              <w:t>Power</w:t>
            </w:r>
          </w:p>
        </w:tc>
        <w:tc>
          <w:tcPr>
            <w:tcW w:w="4365" w:type="dxa"/>
            <w:shd w:val="clear" w:color="auto" w:fill="auto"/>
            <w:vAlign w:val="center"/>
          </w:tcPr>
          <w:p w14:paraId="0021F0FA">
            <w:pPr>
              <w:pStyle w:val="6"/>
              <w:widowControl/>
              <w:spacing w:beforeAutospacing="0" w:afterAutospacing="0" w:line="324" w:lineRule="atLeast"/>
            </w:pPr>
            <w:r>
              <w:t>220VAC±10%，50Hz</w:t>
            </w:r>
          </w:p>
        </w:tc>
      </w:tr>
      <w:tr w14:paraId="5C874A2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55" w:hRule="atLeast"/>
          <w:tblCellSpacing w:w="0" w:type="dxa"/>
        </w:trPr>
        <w:tc>
          <w:tcPr>
            <w:tcW w:w="2265" w:type="dxa"/>
            <w:vMerge w:val="continue"/>
            <w:shd w:val="clear" w:color="auto" w:fill="auto"/>
            <w:vAlign w:val="center"/>
          </w:tcPr>
          <w:p w14:paraId="650092ED">
            <w:pPr>
              <w:jc w:val="left"/>
              <w:rPr>
                <w:rFonts w:ascii="宋体"/>
                <w:sz w:val="24"/>
                <w:szCs w:val="24"/>
              </w:rPr>
            </w:pPr>
          </w:p>
        </w:tc>
        <w:tc>
          <w:tcPr>
            <w:tcW w:w="1845" w:type="dxa"/>
            <w:shd w:val="clear" w:color="auto" w:fill="auto"/>
            <w:vAlign w:val="center"/>
          </w:tcPr>
          <w:p w14:paraId="50C86E59">
            <w:pPr>
              <w:pStyle w:val="6"/>
              <w:widowControl/>
              <w:spacing w:beforeAutospacing="0" w:afterAutospacing="0" w:line="324" w:lineRule="atLeast"/>
            </w:pPr>
            <w:r>
              <w:t>Consumption</w:t>
            </w:r>
          </w:p>
        </w:tc>
        <w:tc>
          <w:tcPr>
            <w:tcW w:w="4365" w:type="dxa"/>
            <w:shd w:val="clear" w:color="auto" w:fill="auto"/>
            <w:vAlign w:val="center"/>
          </w:tcPr>
          <w:p w14:paraId="0071DB0D">
            <w:pPr>
              <w:pStyle w:val="6"/>
              <w:widowControl/>
              <w:spacing w:beforeAutospacing="0" w:afterAutospacing="0" w:line="324" w:lineRule="atLeast"/>
            </w:pPr>
            <w:r>
              <w:t>25W</w:t>
            </w:r>
          </w:p>
        </w:tc>
      </w:tr>
    </w:tbl>
    <w:p w14:paraId="0C305C37">
      <w:pPr>
        <w:pStyle w:val="6"/>
        <w:widowControl/>
        <w:spacing w:beforeAutospacing="0" w:afterAutospacing="0" w:line="324" w:lineRule="atLeast"/>
      </w:pPr>
      <w:r>
        <w:rPr>
          <w:rFonts w:ascii="Verdana" w:hAnsi="Verdana" w:cs="Verdana"/>
          <w:color w:val="333333"/>
          <w:sz w:val="18"/>
          <w:szCs w:val="18"/>
          <w:shd w:val="clear" w:color="auto" w:fill="FEFCFD"/>
        </w:rPr>
        <w:t> </w:t>
      </w:r>
    </w:p>
    <w:p w14:paraId="0A54453C">
      <w:pPr>
        <w:widowControl/>
        <w:shd w:val="clear" w:color="auto" w:fill="F2F2F4"/>
        <w:jc w:val="left"/>
        <w:rPr>
          <w:rFonts w:ascii="Verdana" w:hAnsi="Verdana" w:cs="Verdana"/>
          <w:color w:val="333333"/>
          <w:sz w:val="18"/>
          <w:szCs w:val="18"/>
        </w:rPr>
      </w:pPr>
    </w:p>
    <w:p w14:paraId="5DC3739B">
      <w:pPr>
        <w:rPr>
          <w:rFonts w:ascii="Verdana" w:hAnsi="Verdana" w:cs="Verdana"/>
          <w:color w:val="000000"/>
          <w:sz w:val="28"/>
        </w:rPr>
      </w:pPr>
    </w:p>
    <w:p w14:paraId="09262B96">
      <w:pPr>
        <w:rPr>
          <w:rFonts w:ascii="Verdana" w:hAnsi="Verdana" w:cs="Verdana"/>
          <w:b/>
          <w:color w:val="000000"/>
          <w:sz w:val="22"/>
        </w:rPr>
      </w:pPr>
      <w:r>
        <w:rPr>
          <w:rFonts w:hint="eastAsia" w:ascii="Verdana" w:hAnsi="Verdana" w:cs="Verdana"/>
          <w:b/>
          <w:color w:val="000000"/>
          <w:sz w:val="22"/>
        </w:rPr>
        <w:t>About Us</w:t>
      </w:r>
    </w:p>
    <w:p w14:paraId="1C0A0ADF">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599B4AE1">
      <w:pPr>
        <w:rPr>
          <w:rFonts w:ascii="Verdana" w:hAnsi="Verdana" w:cs="Verdana"/>
          <w:color w:val="000000"/>
          <w:sz w:val="18"/>
        </w:rPr>
      </w:pPr>
    </w:p>
    <w:p w14:paraId="0ADA33E6">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22DA98">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A113964">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847C3">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C26F4"/>
    <w:rsid w:val="003F2047"/>
    <w:rsid w:val="00444478"/>
    <w:rsid w:val="00453C05"/>
    <w:rsid w:val="00465307"/>
    <w:rsid w:val="0049468E"/>
    <w:rsid w:val="004F26A1"/>
    <w:rsid w:val="00622ACE"/>
    <w:rsid w:val="00665764"/>
    <w:rsid w:val="006C3FD6"/>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70687"/>
    <w:rsid w:val="00BD4043"/>
    <w:rsid w:val="00C44FAF"/>
    <w:rsid w:val="00D24477"/>
    <w:rsid w:val="00F268A0"/>
    <w:rsid w:val="00F714FF"/>
    <w:rsid w:val="00F7593F"/>
    <w:rsid w:val="00FC60FC"/>
    <w:rsid w:val="033D434A"/>
    <w:rsid w:val="066300E8"/>
    <w:rsid w:val="0A680B1B"/>
    <w:rsid w:val="0E714EC9"/>
    <w:rsid w:val="0FC87CEA"/>
    <w:rsid w:val="101C4557"/>
    <w:rsid w:val="15C25510"/>
    <w:rsid w:val="18AE427D"/>
    <w:rsid w:val="18E81EA3"/>
    <w:rsid w:val="1B974A15"/>
    <w:rsid w:val="1CDC4CA0"/>
    <w:rsid w:val="1FCC39C5"/>
    <w:rsid w:val="20F61905"/>
    <w:rsid w:val="2199682E"/>
    <w:rsid w:val="239E3C7B"/>
    <w:rsid w:val="27B55639"/>
    <w:rsid w:val="2A752F8B"/>
    <w:rsid w:val="2C665CEA"/>
    <w:rsid w:val="2D032BB7"/>
    <w:rsid w:val="2E0F6BE8"/>
    <w:rsid w:val="314F3E41"/>
    <w:rsid w:val="3B533162"/>
    <w:rsid w:val="3E45216C"/>
    <w:rsid w:val="3F6462F0"/>
    <w:rsid w:val="3F6C72DB"/>
    <w:rsid w:val="45872050"/>
    <w:rsid w:val="478E224E"/>
    <w:rsid w:val="485E04E5"/>
    <w:rsid w:val="487316FE"/>
    <w:rsid w:val="49B75FAC"/>
    <w:rsid w:val="4D774C04"/>
    <w:rsid w:val="4E4A4BF6"/>
    <w:rsid w:val="4F8D25ED"/>
    <w:rsid w:val="51AD130D"/>
    <w:rsid w:val="540A3FAB"/>
    <w:rsid w:val="562E484B"/>
    <w:rsid w:val="56834992"/>
    <w:rsid w:val="5930748A"/>
    <w:rsid w:val="59933671"/>
    <w:rsid w:val="5AA83521"/>
    <w:rsid w:val="5EEA5249"/>
    <w:rsid w:val="609213A6"/>
    <w:rsid w:val="610D3132"/>
    <w:rsid w:val="61BA6334"/>
    <w:rsid w:val="63C27F07"/>
    <w:rsid w:val="67337650"/>
    <w:rsid w:val="68AD6386"/>
    <w:rsid w:val="6D7A6503"/>
    <w:rsid w:val="6D8141D6"/>
    <w:rsid w:val="6E727619"/>
    <w:rsid w:val="70757613"/>
    <w:rsid w:val="70B756B4"/>
    <w:rsid w:val="73270F88"/>
    <w:rsid w:val="74455F31"/>
    <w:rsid w:val="7540100C"/>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279</Words>
  <Characters>1640</Characters>
  <Lines>17</Lines>
  <Paragraphs>4</Paragraphs>
  <TotalTime>0</TotalTime>
  <ScaleCrop>false</ScaleCrop>
  <LinksUpToDate>false</LinksUpToDate>
  <CharactersWithSpaces>1896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2025-08-20T07:31:02Z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