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56899F">
      <w:pPr>
        <w:pStyle w:val="6"/>
        <w:widowControl/>
        <w:spacing w:beforeAutospacing="0" w:afterAutospacing="0" w:line="324" w:lineRule="atLeast"/>
        <w:jc w:val="center"/>
        <w:rPr>
          <w:rFonts w:ascii="Verdana" w:hAnsi="Verdana" w:cs="Verdana"/>
          <w:b/>
          <w:color w:val="000000"/>
          <w:sz w:val="28"/>
        </w:rPr>
      </w:pPr>
      <w:bookmarkStart w:id="0" w:name="_GoBack"/>
      <w:bookmarkEnd w:id="0"/>
      <w:r>
        <w:rPr>
          <w:rFonts w:hint="eastAsia" w:ascii="Verdana" w:hAnsi="Verdana" w:cs="Verdana"/>
          <w:b/>
          <w:i w:val="0"/>
          <w:strike w:val="0"/>
          <w:color w:val="000000"/>
          <w:sz w:val="28"/>
          <w:lang w:eastAsia="zh-CN"/>
        </w:rPr>
        <w:t>FMUSER FUQ-4213J EIT Multiplexer 512 SPTS-MPTS Input-Output UDP-RTP IP TS CA PID PSI-SI Editing Web-Based Broadcast Telecom Headend</w:t>
      </w:r>
    </w:p>
    <w:p w14:paraId="727C821E">
      <w:pPr>
        <w:pStyle w:val="6"/>
        <w:widowControl/>
        <w:spacing w:beforeAutospacing="0" w:afterAutospacing="0" w:line="324" w:lineRule="atLeast"/>
        <w:jc w:val="left"/>
        <w:rPr>
          <w:rFonts w:hint="eastAsia" w:eastAsiaTheme="minorEastAsia"/>
          <w:lang w:eastAsia="zh-CN"/>
        </w:rPr>
      </w:pPr>
      <w:r>
        <w:rPr>
          <w:rFonts w:ascii="Verdana" w:hAnsi="Verdana" w:cs="Verdana"/>
          <w:color w:val="000000"/>
          <w:sz w:val="28"/>
        </w:rPr>
        <w:drawing>
          <wp:inline distT="0" distB="0" distL="114300" distR="114300">
            <wp:extent cx="6187440" cy="2399030"/>
            <wp:effectExtent l="0" t="0" r="3810" b="0"/>
            <wp:docPr id="1" name="图片 1" descr="3EEECN_20240729110550"/>
            <wp:cNvGraphicFramePr/>
            <a:graphic xmlns:a="http://schemas.openxmlformats.org/drawingml/2006/main">
              <a:graphicData uri="http://schemas.openxmlformats.org/drawingml/2006/picture">
                <pic:pic xmlns:pic="http://schemas.openxmlformats.org/drawingml/2006/picture">
                  <pic:nvPicPr>
                    <pic:cNvPr id="1" name="图片 1" descr="3EEECN_20240729110550"/>
                    <pic:cNvPicPr/>
                  </pic:nvPicPr>
                  <pic:blipFill>
                    <a:blip r:embed="rId6"/>
                    <a:stretch>
                      <a:fillRect/>
                    </a:stretch>
                  </pic:blipFill>
                  <pic:spPr>
                    <a:xfrm>
                      <a:off x="0" y="0"/>
                      <a:ext cx="6187440" cy="2399030"/>
                    </a:xfrm>
                    <a:prstGeom prst="rect">
                      <a:avLst/>
                    </a:prstGeom>
                  </pic:spPr>
                </pic:pic>
              </a:graphicData>
            </a:graphic>
          </wp:inline>
        </w:drawing>
      </w:r>
      <w:r>
        <w:rPr>
          <w:rStyle w:val="10"/>
          <w:rFonts w:hint="eastAsia" w:ascii="Verdana" w:hAnsi="Verdana" w:cs="Verdana"/>
          <w:color w:val="333333"/>
          <w:sz w:val="21"/>
          <w:szCs w:val="21"/>
          <w:shd w:val="clear" w:color="auto" w:fill="FEFCFD"/>
          <w:lang w:eastAsia="zh-CN"/>
        </w:rPr>
        <w:t>Product overview</w:t>
      </w:r>
    </w:p>
    <w:p w14:paraId="46B7818E">
      <w:pPr>
        <w:pStyle w:val="6"/>
        <w:widowControl/>
        <w:spacing w:beforeAutospacing="0" w:afterAutospacing="0" w:line="324" w:lineRule="atLeast"/>
      </w:pPr>
      <w:r>
        <w:rPr>
          <w:rFonts w:hint="eastAsia" w:ascii="Verdana" w:hAnsi="Verdana" w:cs="Verdana"/>
          <w:color w:val="333333"/>
          <w:sz w:val="18"/>
          <w:szCs w:val="18"/>
          <w:shd w:val="clear" w:color="auto" w:fill="FEFCFD"/>
        </w:rPr>
        <w:t>The FUQ-4213K EIT Multiplexer is a modular head-end device for IP TS conversion, featuring a 1U chassis that supports up to 3 independent cards. Each card processes 512 SPTS or MPTS inputs to 512 SPTS outputs, with CA filter and PSI/SI editing for stream management. It includes web-based configuration and monitoring, ideal for broadcast systems requiring secure and compliant operations.</w:t>
      </w:r>
      <w:r>
        <w:rPr>
          <w:rFonts w:ascii="Verdana" w:hAnsi="Verdana" w:cs="Verdana"/>
          <w:color w:val="333333"/>
          <w:sz w:val="18"/>
          <w:szCs w:val="18"/>
          <w:shd w:val="clear" w:color="auto" w:fill="FEFCFD"/>
        </w:rPr>
        <w:t> </w:t>
      </w:r>
    </w:p>
    <w:p w14:paraId="7CC8EE8A">
      <w:pPr>
        <w:pStyle w:val="6"/>
        <w:widowControl/>
        <w:spacing w:beforeAutospacing="0" w:afterAutospacing="0" w:line="324" w:lineRule="atLeast"/>
        <w:rPr>
          <w:rFonts w:hint="eastAsia" w:eastAsiaTheme="minorEastAsia"/>
          <w:lang w:eastAsia="zh-CN"/>
        </w:rPr>
      </w:pPr>
      <w:r>
        <w:rPr>
          <w:rStyle w:val="10"/>
          <w:rFonts w:hint="eastAsia" w:ascii="Verdana" w:hAnsi="Verdana" w:cs="Verdana"/>
          <w:color w:val="333333"/>
          <w:sz w:val="21"/>
          <w:szCs w:val="21"/>
          <w:shd w:val="clear" w:color="auto" w:fill="FEFCFD"/>
          <w:lang w:eastAsia="zh-CN"/>
        </w:rPr>
        <w:t>Key feature</w:t>
      </w:r>
    </w:p>
    <w:p w14:paraId="08EA939E">
      <w:pPr>
        <w:pStyle w:val="6"/>
        <w:widowControl/>
        <w:spacing w:beforeAutospacing="0" w:afterAutospacing="0" w:line="324" w:lineRule="atLeast"/>
      </w:pPr>
      <w:r>
        <w:rPr>
          <w:rFonts w:hint="eastAsia" w:ascii="Verdana" w:hAnsi="Verdana" w:cs="Verdana"/>
          <w:color w:val="333333"/>
          <w:sz w:val="18"/>
          <w:szCs w:val="18"/>
          <w:shd w:val="clear" w:color="auto" w:fill="FEFCFD"/>
        </w:rPr>
        <w:t>Enables web-based operation for configuration and monitoring via intuitive interface.</w:t>
      </w:r>
      <w:r>
        <w:rPr>
          <w:rFonts w:ascii="Verdana" w:hAnsi="Verdana" w:cs="Verdana"/>
          <w:color w:val="333333"/>
          <w:sz w:val="18"/>
          <w:szCs w:val="18"/>
          <w:shd w:val="clear" w:color="auto" w:fill="FEFCFD"/>
        </w:rPr>
        <w:t> </w:t>
      </w:r>
    </w:p>
    <w:p w14:paraId="01A9C72B">
      <w:pPr>
        <w:pStyle w:val="6"/>
        <w:widowControl/>
        <w:spacing w:beforeAutospacing="0" w:afterAutospacing="0" w:line="324" w:lineRule="atLeast"/>
      </w:pPr>
      <w:r>
        <w:rPr>
          <w:rStyle w:val="10"/>
          <w:rFonts w:ascii="Verdana" w:hAnsi="Verdana" w:cs="Verdana"/>
          <w:color w:val="333333"/>
          <w:sz w:val="21"/>
          <w:szCs w:val="21"/>
          <w:shd w:val="clear" w:color="auto" w:fill="FEFCFD"/>
        </w:rPr>
        <w:t>Specifications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855"/>
        <w:gridCol w:w="2331"/>
        <w:gridCol w:w="5564"/>
      </w:tblGrid>
      <w:tr w14:paraId="0E1E681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tblCellSpacing w:w="0" w:type="dxa"/>
        </w:trPr>
        <w:tc>
          <w:tcPr>
            <w:tcW w:w="1695" w:type="dxa"/>
            <w:shd w:val="clear" w:color="auto" w:fill="auto"/>
            <w:vAlign w:val="center"/>
          </w:tcPr>
          <w:p w14:paraId="62A62A64">
            <w:pPr>
              <w:pStyle w:val="6"/>
              <w:widowControl/>
              <w:spacing w:beforeAutospacing="0" w:afterAutospacing="0" w:line="324" w:lineRule="atLeast"/>
            </w:pPr>
            <w:r>
              <w:t>Input</w:t>
            </w:r>
          </w:p>
        </w:tc>
        <w:tc>
          <w:tcPr>
            <w:tcW w:w="7200" w:type="dxa"/>
            <w:gridSpan w:val="2"/>
            <w:shd w:val="clear" w:color="auto" w:fill="auto"/>
            <w:vAlign w:val="center"/>
          </w:tcPr>
          <w:p w14:paraId="50AA2D61">
            <w:pPr>
              <w:pStyle w:val="6"/>
              <w:widowControl/>
              <w:spacing w:beforeAutospacing="0" w:afterAutospacing="0" w:line="324" w:lineRule="atLeast"/>
            </w:pPr>
            <w:r>
              <w:t>512 SPTS or MPTS IP input over UDP, RTP, Unicast and Multicast (per card)</w:t>
            </w:r>
          </w:p>
        </w:tc>
      </w:tr>
      <w:tr w14:paraId="5BD3AA1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95" w:type="dxa"/>
            <w:shd w:val="clear" w:color="auto" w:fill="auto"/>
            <w:vAlign w:val="center"/>
          </w:tcPr>
          <w:p w14:paraId="277778B3">
            <w:pPr>
              <w:pStyle w:val="6"/>
              <w:widowControl/>
              <w:spacing w:beforeAutospacing="0" w:afterAutospacing="0" w:line="324" w:lineRule="atLeast"/>
            </w:pPr>
            <w:r>
              <w:t>Output</w:t>
            </w:r>
          </w:p>
        </w:tc>
        <w:tc>
          <w:tcPr>
            <w:tcW w:w="7200" w:type="dxa"/>
            <w:gridSpan w:val="2"/>
            <w:shd w:val="clear" w:color="auto" w:fill="auto"/>
            <w:vAlign w:val="center"/>
          </w:tcPr>
          <w:p w14:paraId="257049CA">
            <w:pPr>
              <w:pStyle w:val="6"/>
              <w:widowControl/>
              <w:spacing w:beforeAutospacing="0" w:afterAutospacing="0" w:line="324" w:lineRule="atLeast"/>
            </w:pPr>
            <w:r>
              <w:t>512 SPTS IP output UDP, RTP, Unicast and Multicast (per card)</w:t>
            </w:r>
          </w:p>
        </w:tc>
      </w:tr>
      <w:tr w14:paraId="63272F8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restart"/>
            <w:shd w:val="clear" w:color="auto" w:fill="auto"/>
            <w:vAlign w:val="center"/>
          </w:tcPr>
          <w:p w14:paraId="0D8BCBE6">
            <w:pPr>
              <w:pStyle w:val="6"/>
              <w:widowControl/>
              <w:spacing w:beforeAutospacing="0" w:afterAutospacing="0" w:line="324" w:lineRule="atLeast"/>
            </w:pPr>
            <w:r>
              <w:t>Multiplexing</w:t>
            </w:r>
          </w:p>
        </w:tc>
        <w:tc>
          <w:tcPr>
            <w:tcW w:w="7200" w:type="dxa"/>
            <w:gridSpan w:val="2"/>
            <w:shd w:val="clear" w:color="auto" w:fill="auto"/>
            <w:vAlign w:val="center"/>
          </w:tcPr>
          <w:p w14:paraId="29ABB941">
            <w:pPr>
              <w:pStyle w:val="6"/>
              <w:widowControl/>
              <w:spacing w:beforeAutospacing="0" w:afterAutospacing="0" w:line="324" w:lineRule="atLeast"/>
            </w:pPr>
            <w:r>
              <w:t>Support CA PID filtering, PID re-mapping</w:t>
            </w:r>
          </w:p>
        </w:tc>
      </w:tr>
      <w:tr w14:paraId="3893FE0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96" w:hRule="atLeast"/>
          <w:tblCellSpacing w:w="0" w:type="dxa"/>
        </w:trPr>
        <w:tc>
          <w:tcPr>
            <w:tcW w:w="1695" w:type="dxa"/>
            <w:vMerge w:val="continue"/>
            <w:shd w:val="clear" w:color="auto" w:fill="auto"/>
            <w:vAlign w:val="center"/>
          </w:tcPr>
          <w:p w14:paraId="4C9E4F2E">
            <w:pPr>
              <w:jc w:val="left"/>
              <w:rPr>
                <w:rFonts w:ascii="宋体"/>
                <w:sz w:val="24"/>
                <w:szCs w:val="24"/>
              </w:rPr>
            </w:pPr>
          </w:p>
        </w:tc>
        <w:tc>
          <w:tcPr>
            <w:tcW w:w="7200" w:type="dxa"/>
            <w:gridSpan w:val="2"/>
            <w:shd w:val="clear" w:color="auto" w:fill="auto"/>
            <w:vAlign w:val="center"/>
          </w:tcPr>
          <w:p w14:paraId="582A018B">
            <w:pPr>
              <w:pStyle w:val="6"/>
              <w:widowControl/>
              <w:spacing w:beforeAutospacing="0" w:afterAutospacing="0" w:line="324" w:lineRule="atLeast"/>
            </w:pPr>
            <w:r>
              <w:t>Support accurate PCR adjusting</w:t>
            </w:r>
          </w:p>
        </w:tc>
      </w:tr>
      <w:tr w14:paraId="3EB159D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1B76634C">
            <w:pPr>
              <w:jc w:val="left"/>
              <w:rPr>
                <w:rFonts w:ascii="宋体"/>
                <w:sz w:val="24"/>
                <w:szCs w:val="24"/>
              </w:rPr>
            </w:pPr>
          </w:p>
        </w:tc>
        <w:tc>
          <w:tcPr>
            <w:tcW w:w="7200" w:type="dxa"/>
            <w:gridSpan w:val="2"/>
            <w:shd w:val="clear" w:color="auto" w:fill="auto"/>
            <w:vAlign w:val="center"/>
          </w:tcPr>
          <w:p w14:paraId="504C638E">
            <w:pPr>
              <w:pStyle w:val="6"/>
              <w:widowControl/>
              <w:spacing w:beforeAutospacing="0" w:afterAutospacing="0" w:line="324" w:lineRule="atLeast"/>
            </w:pPr>
            <w:r>
              <w:t>Support PSI/SI rebuilding and editing</w:t>
            </w:r>
          </w:p>
        </w:tc>
      </w:tr>
      <w:tr w14:paraId="408D54C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95" w:type="dxa"/>
            <w:vMerge w:val="restart"/>
            <w:shd w:val="clear" w:color="auto" w:fill="auto"/>
            <w:vAlign w:val="center"/>
          </w:tcPr>
          <w:p w14:paraId="6A97CEBC">
            <w:pPr>
              <w:pStyle w:val="6"/>
              <w:widowControl/>
              <w:spacing w:beforeAutospacing="0" w:afterAutospacing="0" w:line="324" w:lineRule="atLeast"/>
            </w:pPr>
            <w:r>
              <w:t>General</w:t>
            </w:r>
          </w:p>
        </w:tc>
        <w:tc>
          <w:tcPr>
            <w:tcW w:w="2130" w:type="dxa"/>
            <w:shd w:val="clear" w:color="auto" w:fill="auto"/>
            <w:vAlign w:val="center"/>
          </w:tcPr>
          <w:p w14:paraId="14962613">
            <w:pPr>
              <w:pStyle w:val="6"/>
              <w:widowControl/>
              <w:spacing w:beforeAutospacing="0" w:afterAutospacing="0" w:line="324" w:lineRule="atLeast"/>
            </w:pPr>
            <w:r>
              <w:t>Dimension(WxLxH)</w:t>
            </w:r>
          </w:p>
        </w:tc>
        <w:tc>
          <w:tcPr>
            <w:tcW w:w="5085" w:type="dxa"/>
            <w:shd w:val="clear" w:color="auto" w:fill="auto"/>
            <w:vAlign w:val="center"/>
          </w:tcPr>
          <w:p w14:paraId="01F99CD7">
            <w:pPr>
              <w:pStyle w:val="6"/>
              <w:widowControl/>
              <w:spacing w:beforeAutospacing="0" w:afterAutospacing="0" w:line="324" w:lineRule="atLeast"/>
            </w:pPr>
            <w:r>
              <w:t>482mm×410mm×44mm</w:t>
            </w:r>
          </w:p>
        </w:tc>
      </w:tr>
      <w:tr w14:paraId="53FFCC3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95" w:type="dxa"/>
            <w:vMerge w:val="continue"/>
            <w:shd w:val="clear" w:color="auto" w:fill="auto"/>
            <w:vAlign w:val="center"/>
          </w:tcPr>
          <w:p w14:paraId="6192255E">
            <w:pPr>
              <w:jc w:val="left"/>
              <w:rPr>
                <w:rFonts w:ascii="宋体"/>
                <w:sz w:val="24"/>
                <w:szCs w:val="24"/>
              </w:rPr>
            </w:pPr>
          </w:p>
        </w:tc>
        <w:tc>
          <w:tcPr>
            <w:tcW w:w="2130" w:type="dxa"/>
            <w:shd w:val="clear" w:color="auto" w:fill="auto"/>
            <w:vAlign w:val="center"/>
          </w:tcPr>
          <w:p w14:paraId="3F06F862">
            <w:pPr>
              <w:pStyle w:val="6"/>
              <w:widowControl/>
              <w:spacing w:beforeAutospacing="0" w:afterAutospacing="0" w:line="324" w:lineRule="atLeast"/>
            </w:pPr>
            <w:r>
              <w:t>Weight</w:t>
            </w:r>
          </w:p>
        </w:tc>
        <w:tc>
          <w:tcPr>
            <w:tcW w:w="5085" w:type="dxa"/>
            <w:shd w:val="clear" w:color="auto" w:fill="auto"/>
            <w:vAlign w:val="center"/>
          </w:tcPr>
          <w:p w14:paraId="43A01492">
            <w:pPr>
              <w:pStyle w:val="6"/>
              <w:widowControl/>
              <w:spacing w:beforeAutospacing="0" w:afterAutospacing="0" w:line="324" w:lineRule="atLeast"/>
            </w:pPr>
            <w:r>
              <w:t>3.6kg</w:t>
            </w:r>
          </w:p>
        </w:tc>
      </w:tr>
      <w:tr w14:paraId="262FEBB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95" w:type="dxa"/>
            <w:vMerge w:val="continue"/>
            <w:shd w:val="clear" w:color="auto" w:fill="auto"/>
            <w:vAlign w:val="center"/>
          </w:tcPr>
          <w:p w14:paraId="220DB2C0">
            <w:pPr>
              <w:jc w:val="left"/>
              <w:rPr>
                <w:rFonts w:ascii="宋体"/>
                <w:sz w:val="24"/>
                <w:szCs w:val="24"/>
              </w:rPr>
            </w:pPr>
          </w:p>
        </w:tc>
        <w:tc>
          <w:tcPr>
            <w:tcW w:w="2130" w:type="dxa"/>
            <w:shd w:val="clear" w:color="auto" w:fill="auto"/>
            <w:vAlign w:val="center"/>
          </w:tcPr>
          <w:p w14:paraId="1557D8BF">
            <w:pPr>
              <w:pStyle w:val="6"/>
              <w:widowControl/>
              <w:spacing w:beforeAutospacing="0" w:afterAutospacing="0" w:line="324" w:lineRule="atLeast"/>
            </w:pPr>
            <w:r>
              <w:t>Temperature</w:t>
            </w:r>
          </w:p>
        </w:tc>
        <w:tc>
          <w:tcPr>
            <w:tcW w:w="5085" w:type="dxa"/>
            <w:shd w:val="clear" w:color="auto" w:fill="auto"/>
            <w:vAlign w:val="center"/>
          </w:tcPr>
          <w:p w14:paraId="3CDA1A2A">
            <w:pPr>
              <w:pStyle w:val="6"/>
              <w:widowControl/>
              <w:spacing w:beforeAutospacing="0" w:afterAutospacing="0" w:line="324" w:lineRule="atLeast"/>
            </w:pPr>
            <w:r>
              <w:t>0~45℃(working )，-20~80℃(storage)</w:t>
            </w:r>
          </w:p>
        </w:tc>
      </w:tr>
      <w:tr w14:paraId="6D58244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95" w:type="dxa"/>
            <w:vMerge w:val="continue"/>
            <w:shd w:val="clear" w:color="auto" w:fill="auto"/>
            <w:vAlign w:val="center"/>
          </w:tcPr>
          <w:p w14:paraId="3118D8D5">
            <w:pPr>
              <w:jc w:val="left"/>
              <w:rPr>
                <w:rFonts w:ascii="宋体"/>
                <w:sz w:val="24"/>
                <w:szCs w:val="24"/>
              </w:rPr>
            </w:pPr>
          </w:p>
        </w:tc>
        <w:tc>
          <w:tcPr>
            <w:tcW w:w="2130" w:type="dxa"/>
            <w:shd w:val="clear" w:color="auto" w:fill="auto"/>
            <w:vAlign w:val="center"/>
          </w:tcPr>
          <w:p w14:paraId="35774A13">
            <w:pPr>
              <w:pStyle w:val="6"/>
              <w:widowControl/>
              <w:spacing w:beforeAutospacing="0" w:afterAutospacing="0" w:line="324" w:lineRule="atLeast"/>
            </w:pPr>
            <w:r>
              <w:t>Power supply</w:t>
            </w:r>
          </w:p>
        </w:tc>
        <w:tc>
          <w:tcPr>
            <w:tcW w:w="5085" w:type="dxa"/>
            <w:shd w:val="clear" w:color="auto" w:fill="auto"/>
            <w:vAlign w:val="center"/>
          </w:tcPr>
          <w:p w14:paraId="6B228227">
            <w:pPr>
              <w:pStyle w:val="6"/>
              <w:widowControl/>
              <w:spacing w:beforeAutospacing="0" w:afterAutospacing="0" w:line="324" w:lineRule="atLeast"/>
            </w:pPr>
            <w:r>
              <w:t>100~240VAC，50/60Hz</w:t>
            </w:r>
          </w:p>
        </w:tc>
      </w:tr>
      <w:tr w14:paraId="2B07BE7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95" w:type="dxa"/>
            <w:vMerge w:val="continue"/>
            <w:shd w:val="clear" w:color="auto" w:fill="auto"/>
            <w:vAlign w:val="center"/>
          </w:tcPr>
          <w:p w14:paraId="32CFE832">
            <w:pPr>
              <w:jc w:val="left"/>
              <w:rPr>
                <w:rFonts w:ascii="宋体"/>
                <w:sz w:val="24"/>
                <w:szCs w:val="24"/>
              </w:rPr>
            </w:pPr>
          </w:p>
        </w:tc>
        <w:tc>
          <w:tcPr>
            <w:tcW w:w="2130" w:type="dxa"/>
            <w:shd w:val="clear" w:color="auto" w:fill="auto"/>
            <w:vAlign w:val="center"/>
          </w:tcPr>
          <w:p w14:paraId="6C5B8DC6">
            <w:pPr>
              <w:pStyle w:val="6"/>
              <w:widowControl/>
              <w:spacing w:beforeAutospacing="0" w:afterAutospacing="0" w:line="324" w:lineRule="atLeast"/>
            </w:pPr>
            <w:r>
              <w:t>consumption</w:t>
            </w:r>
          </w:p>
        </w:tc>
        <w:tc>
          <w:tcPr>
            <w:tcW w:w="5085" w:type="dxa"/>
            <w:shd w:val="clear" w:color="auto" w:fill="auto"/>
            <w:vAlign w:val="center"/>
          </w:tcPr>
          <w:p w14:paraId="1295F3B4">
            <w:pPr>
              <w:pStyle w:val="6"/>
              <w:widowControl/>
              <w:spacing w:beforeAutospacing="0" w:afterAutospacing="0" w:line="324" w:lineRule="atLeast"/>
            </w:pPr>
            <w:r>
              <w:t>20W</w:t>
            </w:r>
          </w:p>
        </w:tc>
      </w:tr>
    </w:tbl>
    <w:p w14:paraId="3C87811E">
      <w:pPr>
        <w:pStyle w:val="6"/>
        <w:widowControl/>
        <w:spacing w:beforeAutospacing="0" w:afterAutospacing="0" w:line="324" w:lineRule="atLeast"/>
      </w:pPr>
      <w:r>
        <w:rPr>
          <w:rStyle w:val="10"/>
          <w:rFonts w:ascii="Verdana" w:hAnsi="Verdana" w:cs="Verdana"/>
          <w:color w:val="333333"/>
          <w:sz w:val="18"/>
          <w:szCs w:val="18"/>
          <w:shd w:val="clear" w:color="auto" w:fill="FEFCFD"/>
        </w:rPr>
        <w:t> </w:t>
      </w:r>
    </w:p>
    <w:p w14:paraId="59AB9BCE">
      <w:pPr>
        <w:pStyle w:val="6"/>
        <w:widowControl/>
        <w:spacing w:beforeAutospacing="0" w:afterAutospacing="0" w:line="324" w:lineRule="atLeast"/>
      </w:pPr>
      <w:r>
        <w:rPr>
          <w:rStyle w:val="10"/>
          <w:rFonts w:ascii="Verdana" w:hAnsi="Verdana" w:cs="Verdana"/>
          <w:color w:val="333333"/>
          <w:sz w:val="21"/>
          <w:szCs w:val="21"/>
          <w:shd w:val="clear" w:color="auto" w:fill="FEFCFD"/>
        </w:rPr>
        <w:t>Working Principle (per daughter card)</w:t>
      </w:r>
    </w:p>
    <w:p w14:paraId="54043064">
      <w:pPr>
        <w:pStyle w:val="6"/>
        <w:widowControl/>
        <w:spacing w:beforeAutospacing="0" w:afterAutospacing="0" w:line="324" w:lineRule="atLeast"/>
      </w:pPr>
      <w:r>
        <w:rPr>
          <w:rFonts w:ascii="Verdana" w:hAnsi="Verdana" w:cs="Verdana"/>
          <w:color w:val="333333"/>
          <w:sz w:val="18"/>
          <w:szCs w:val="18"/>
          <w:shd w:val="clear" w:color="auto" w:fill="FEFCFD"/>
        </w:rPr>
        <w:t> </w:t>
      </w:r>
    </w:p>
    <w:p w14:paraId="169FE517">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34100" cy="3533775"/>
            <wp:effectExtent l="0" t="0" r="0" b="9525"/>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34100" cy="3533775"/>
                    </a:xfrm>
                    <a:prstGeom prst="rect">
                      <a:avLst/>
                    </a:prstGeom>
                    <a:noFill/>
                    <a:ln w="9525">
                      <a:noFill/>
                    </a:ln>
                  </pic:spPr>
                </pic:pic>
              </a:graphicData>
            </a:graphic>
          </wp:inline>
        </w:drawing>
      </w:r>
    </w:p>
    <w:p w14:paraId="23B21A7B">
      <w:pPr>
        <w:widowControl/>
        <w:shd w:val="clear" w:color="auto" w:fill="F2F2F4"/>
        <w:jc w:val="left"/>
        <w:rPr>
          <w:rFonts w:ascii="Verdana" w:hAnsi="Verdana" w:cs="Verdana"/>
          <w:color w:val="333333"/>
          <w:sz w:val="18"/>
          <w:szCs w:val="18"/>
        </w:rPr>
      </w:pPr>
    </w:p>
    <w:p w14:paraId="1400645C">
      <w:pPr>
        <w:rPr>
          <w:rFonts w:ascii="Verdana" w:hAnsi="Verdana" w:cs="Verdana"/>
          <w:color w:val="000000"/>
          <w:sz w:val="28"/>
        </w:rPr>
      </w:pPr>
    </w:p>
    <w:p w14:paraId="46F99C7B">
      <w:pPr>
        <w:rPr>
          <w:rFonts w:ascii="Verdana" w:hAnsi="Verdana" w:cs="Verdana"/>
          <w:b/>
          <w:color w:val="000000"/>
          <w:sz w:val="22"/>
        </w:rPr>
      </w:pPr>
      <w:r>
        <w:rPr>
          <w:rFonts w:hint="eastAsia" w:ascii="Verdana" w:hAnsi="Verdana" w:cs="Verdana"/>
          <w:b/>
          <w:color w:val="000000"/>
          <w:sz w:val="22"/>
        </w:rPr>
        <w:t>About Us</w:t>
      </w:r>
    </w:p>
    <w:p w14:paraId="2EA6BE42">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3B6CB0FD">
      <w:pPr>
        <w:rPr>
          <w:rFonts w:ascii="Verdana" w:hAnsi="Verdana" w:cs="Verdana"/>
          <w:color w:val="000000"/>
          <w:sz w:val="18"/>
        </w:rPr>
      </w:pPr>
    </w:p>
    <w:p w14:paraId="74DD9B5D">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2A405F">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09FE1AF6">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31FCE1">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7205F"/>
    <w:rsid w:val="004914D5"/>
    <w:rsid w:val="0049468E"/>
    <w:rsid w:val="00622ACE"/>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33D434A"/>
    <w:rsid w:val="0A680B1B"/>
    <w:rsid w:val="0E714EC9"/>
    <w:rsid w:val="0FC87CEA"/>
    <w:rsid w:val="0FE37F5D"/>
    <w:rsid w:val="101C4557"/>
    <w:rsid w:val="11D16969"/>
    <w:rsid w:val="15C25510"/>
    <w:rsid w:val="18AE427D"/>
    <w:rsid w:val="18E81EA3"/>
    <w:rsid w:val="1B974A15"/>
    <w:rsid w:val="1CDC4CA0"/>
    <w:rsid w:val="1FCC39C5"/>
    <w:rsid w:val="20F61905"/>
    <w:rsid w:val="2199682E"/>
    <w:rsid w:val="239E3C7B"/>
    <w:rsid w:val="248A19E9"/>
    <w:rsid w:val="27B55639"/>
    <w:rsid w:val="2A752F8B"/>
    <w:rsid w:val="2C665CEA"/>
    <w:rsid w:val="2CB35CA0"/>
    <w:rsid w:val="2E0F6BE8"/>
    <w:rsid w:val="314F3E41"/>
    <w:rsid w:val="3B533162"/>
    <w:rsid w:val="42755B98"/>
    <w:rsid w:val="435329D2"/>
    <w:rsid w:val="45872050"/>
    <w:rsid w:val="478E224E"/>
    <w:rsid w:val="485E04E5"/>
    <w:rsid w:val="487316FE"/>
    <w:rsid w:val="49B75FAC"/>
    <w:rsid w:val="4E4A4BF6"/>
    <w:rsid w:val="4F8D25ED"/>
    <w:rsid w:val="51AD130D"/>
    <w:rsid w:val="540A3FAB"/>
    <w:rsid w:val="562E484B"/>
    <w:rsid w:val="56834992"/>
    <w:rsid w:val="5930748A"/>
    <w:rsid w:val="59933671"/>
    <w:rsid w:val="5AA83521"/>
    <w:rsid w:val="5D6228B2"/>
    <w:rsid w:val="5EEA5249"/>
    <w:rsid w:val="609213A6"/>
    <w:rsid w:val="61BA6334"/>
    <w:rsid w:val="63C27F07"/>
    <w:rsid w:val="68AD6386"/>
    <w:rsid w:val="6D7A6503"/>
    <w:rsid w:val="6E7F56A5"/>
    <w:rsid w:val="70757613"/>
    <w:rsid w:val="70B756B4"/>
    <w:rsid w:val="73270F88"/>
    <w:rsid w:val="74455F31"/>
    <w:rsid w:val="7540100C"/>
    <w:rsid w:val="770B135D"/>
    <w:rsid w:val="77935A18"/>
    <w:rsid w:val="7B4016A9"/>
    <w:rsid w:val="7B8E7427"/>
    <w:rsid w:val="7EAE425E"/>
    <w:rsid w:val="7EC40577"/>
    <w:rsid w:val="7EE4686D"/>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png"/><Relationship Id="rId7" Type="http://schemas.openxmlformats.org/officeDocument/2006/relationships/hyperlink" Target="https://english.dsdvb.com/Upload/images/Product/Multiplexer/NDS3506/3EEECN_20170522101644.png" TargetMode="Externa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217</Words>
  <Characters>1270</Characters>
  <Lines>12</Lines>
  <Paragraphs>3</Paragraphs>
  <TotalTime>27</TotalTime>
  <ScaleCrop>false</ScaleCrop>
  <LinksUpToDate>false</LinksUpToDate>
  <CharactersWithSpaces>1463</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2025-08-20T03:43:32Z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