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42384">
      <w:pPr>
        <w:pStyle w:val="6"/>
        <w:widowControl/>
        <w:spacing w:beforeAutospacing="0" w:afterAutospacing="0" w:line="324" w:lineRule="atLeast"/>
        <w:jc w:val="left"/>
        <w:rPr>
          <w:rFonts w:hint="eastAsia" w:eastAsiaTheme="minorEastAsia"/>
          <w:lang w:eastAsia="zh-CN"/>
        </w:rPr>
      </w:pPr>
      <w:r>
        <w:rPr>
          <w:rFonts w:hint="eastAsia" w:ascii="Verdana" w:hAnsi="Verdana" w:cs="Verdana"/>
          <w:b/>
          <w:i w:val="0"/>
          <w:strike w:val="0"/>
          <w:color w:val="000000"/>
          <w:sz w:val="22"/>
          <w:lang w:eastAsia="zh-CN"/>
        </w:rPr>
        <w:t>FMUSER FUQ-4214 IP Multiplexer 512 IP Inputs 2 ASI-2 IP Outputs UDP ISO13818 EN300468 PCR Adjust PSI-SI Editing Digital TV Headend</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CATV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828035303"/>
            <wp:cNvGraphicFramePr/>
            <a:graphic xmlns:a="http://schemas.openxmlformats.org/drawingml/2006/main">
              <a:graphicData uri="http://schemas.openxmlformats.org/drawingml/2006/picture">
                <pic:pic xmlns:pic="http://schemas.openxmlformats.org/drawingml/2006/picture">
                  <pic:nvPicPr>
                    <pic:cNvPr id="1" name="图片 1" descr="3EEECN_20180828035303"/>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eastAsia" w:ascii="Verdana" w:hAnsi="Verdana" w:cs="Verdana"/>
          <w:color w:val="333333"/>
          <w:szCs w:val="24"/>
          <w:shd w:val="clear" w:color="auto" w:fill="FFA500"/>
          <w:lang w:eastAsia="zh-CN"/>
        </w:rPr>
        <w:t>Product overview</w:t>
      </w:r>
    </w:p>
    <w:p w14:paraId="3E20CC66">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FUQ-4214 IP Multiplexer is a high-performance TS processor with 512 IP inputs (SPTS/MPTS) and 2 TS stream outputs. It multiplexes signals, enabling PCR adjusting, PID remapping, and PSI/SI editing. With web-based NMS and front-panel control, it suits digital TV head-end systems and CATV applications.</w:t>
      </w:r>
      <w:r>
        <w:rPr>
          <w:rFonts w:ascii="Verdana" w:hAnsi="Verdana" w:cs="Verdana"/>
          <w:color w:val="333333"/>
          <w:sz w:val="18"/>
          <w:szCs w:val="18"/>
          <w:shd w:val="clear" w:color="auto" w:fill="FEFCFD"/>
        </w:rPr>
        <w:t> </w:t>
      </w:r>
    </w:p>
    <w:p w14:paraId="18C5A628">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Cs w:val="24"/>
          <w:shd w:val="clear" w:color="auto" w:fill="FFA500"/>
          <w:lang w:eastAsia="zh-CN"/>
        </w:rPr>
        <w:t>Key feature</w:t>
      </w:r>
    </w:p>
    <w:p w14:paraId="3F14D1A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up to 512 SPTS/MPTS inputs over UDP, compliant with ISO13818 and EN300 468.  </w:t>
      </w:r>
    </w:p>
    <w:p w14:paraId="2E004B7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dual outputs: 2 ASI groups (each with 2 ports) and 2 IP outputs for reliable transmission.  </w:t>
      </w:r>
    </w:p>
    <w:p w14:paraId="71C90F2F">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Enables advanced processing including PCR adjusting, PID remapping, and PSI/SI editing for up to 2048 PIDs per channel.  </w:t>
      </w:r>
    </w:p>
    <w:p w14:paraId="0A6A1DE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buffer memory for overflow protection, with LCD/keyboard and web-based NMS for easy management.  </w:t>
      </w:r>
    </w:p>
    <w:p w14:paraId="506076B1">
      <w:pPr>
        <w:pStyle w:val="6"/>
        <w:widowControl/>
        <w:spacing w:beforeAutospacing="0" w:afterAutospacing="0" w:line="324" w:lineRule="atLeast"/>
      </w:pPr>
      <w:r>
        <w:rPr>
          <w:rFonts w:ascii="Verdana" w:hAnsi="Verdana" w:cs="Verdana"/>
          <w:color w:val="333333"/>
          <w:sz w:val="18"/>
          <w:szCs w:val="18"/>
          <w:shd w:val="clear" w:color="auto" w:fill="FEFCFD"/>
        </w:rPr>
        <w:t> </w:t>
      </w:r>
    </w:p>
    <w:p w14:paraId="34697066">
      <w:pPr>
        <w:pStyle w:val="6"/>
        <w:widowControl/>
        <w:spacing w:beforeAutospacing="0" w:afterAutospacing="0" w:line="324" w:lineRule="atLeast"/>
      </w:pPr>
      <w:r>
        <w:rPr>
          <w:rStyle w:val="10"/>
          <w:rFonts w:ascii="Verdana" w:hAnsi="Verdana" w:cs="Verdana"/>
          <w:color w:val="333333"/>
          <w:szCs w:val="24"/>
          <w:shd w:val="clear" w:color="auto" w:fill="FFA500"/>
        </w:rPr>
        <w:t>Principle Chart</w:t>
      </w:r>
    </w:p>
    <w:p w14:paraId="2D559A14">
      <w:pPr>
        <w:pStyle w:val="6"/>
        <w:widowControl/>
        <w:spacing w:beforeAutospacing="0" w:afterAutospacing="0" w:line="324" w:lineRule="atLeast"/>
      </w:pPr>
      <w:r>
        <w:rPr>
          <w:rFonts w:ascii="Verdana" w:hAnsi="Verdana" w:cs="Verdana"/>
          <w:color w:val="333333"/>
          <w:sz w:val="18"/>
          <w:szCs w:val="18"/>
          <w:shd w:val="clear" w:color="auto" w:fill="FEFCFD"/>
        </w:rPr>
        <w:t> </w:t>
      </w:r>
    </w:p>
    <w:p w14:paraId="369F2234">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4265" cy="4641850"/>
            <wp:effectExtent l="0" t="0" r="6985" b="635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4265" cy="4641850"/>
                    </a:xfrm>
                    <a:prstGeom prst="rect">
                      <a:avLst/>
                    </a:prstGeom>
                    <a:noFill/>
                    <a:ln w="9525">
                      <a:noFill/>
                    </a:ln>
                  </pic:spPr>
                </pic:pic>
              </a:graphicData>
            </a:graphic>
          </wp:inline>
        </w:drawing>
      </w:r>
    </w:p>
    <w:p w14:paraId="1E150B9F">
      <w:pPr>
        <w:pStyle w:val="6"/>
        <w:widowControl/>
        <w:spacing w:beforeAutospacing="0" w:afterAutospacing="0" w:line="324" w:lineRule="atLeast"/>
      </w:pPr>
      <w:r>
        <w:rPr>
          <w:rFonts w:ascii="Verdana" w:hAnsi="Verdana" w:cs="Verdana"/>
          <w:color w:val="333333"/>
          <w:sz w:val="18"/>
          <w:szCs w:val="18"/>
          <w:shd w:val="clear" w:color="auto" w:fill="FEFCFD"/>
        </w:rPr>
        <w:t> </w:t>
      </w:r>
    </w:p>
    <w:p w14:paraId="617144FB">
      <w:pPr>
        <w:pStyle w:val="6"/>
        <w:widowControl/>
        <w:spacing w:beforeAutospacing="0" w:afterAutospacing="0" w:line="324" w:lineRule="atLeast"/>
      </w:pPr>
      <w:r>
        <w:rPr>
          <w:rStyle w:val="10"/>
          <w:rFonts w:ascii="Verdana" w:hAnsi="Verdana" w:cs="Verdana"/>
          <w:color w:val="333333"/>
          <w:szCs w:val="24"/>
          <w:shd w:val="clear" w:color="auto" w:fill="FFA500"/>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4"/>
        <w:gridCol w:w="1350"/>
        <w:gridCol w:w="7096"/>
      </w:tblGrid>
      <w:tr w14:paraId="5923F2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14:paraId="645B0644">
            <w:pPr>
              <w:pStyle w:val="6"/>
              <w:widowControl/>
              <w:spacing w:beforeAutospacing="0" w:afterAutospacing="0" w:line="324" w:lineRule="atLeast"/>
            </w:pPr>
            <w:r>
              <w:rPr>
                <w:rStyle w:val="10"/>
              </w:rPr>
              <w:t>Input</w:t>
            </w:r>
          </w:p>
        </w:tc>
        <w:tc>
          <w:tcPr>
            <w:tcW w:w="0" w:type="auto"/>
            <w:shd w:val="clear" w:color="auto" w:fill="auto"/>
            <w:vAlign w:val="center"/>
          </w:tcPr>
          <w:p w14:paraId="3BEC91D2">
            <w:pPr>
              <w:pStyle w:val="6"/>
              <w:widowControl/>
              <w:spacing w:beforeAutospacing="0" w:afterAutospacing="0" w:line="324" w:lineRule="atLeast"/>
            </w:pPr>
            <w:r>
              <w:t> IP (RJ45,GE)</w:t>
            </w:r>
          </w:p>
        </w:tc>
        <w:tc>
          <w:tcPr>
            <w:tcW w:w="0" w:type="auto"/>
            <w:shd w:val="clear" w:color="auto" w:fill="auto"/>
            <w:vAlign w:val="center"/>
          </w:tcPr>
          <w:p w14:paraId="5E342736">
            <w:pPr>
              <w:pStyle w:val="6"/>
              <w:widowControl/>
              <w:spacing w:beforeAutospacing="0" w:afterAutospacing="0" w:line="324" w:lineRule="atLeast"/>
            </w:pPr>
            <w:r>
              <w:t>512 x MPTS/SPTS, Unitcast/Multicast, UDP Protocol</w:t>
            </w:r>
          </w:p>
          <w:p w14:paraId="4FE7834F">
            <w:pPr>
              <w:pStyle w:val="6"/>
              <w:widowControl/>
              <w:spacing w:beforeAutospacing="0" w:afterAutospacing="0" w:line="324" w:lineRule="atLeast"/>
            </w:pPr>
            <w:r>
              <w:t>IGMP V2/V3</w:t>
            </w:r>
          </w:p>
        </w:tc>
      </w:tr>
      <w:tr w14:paraId="2E988E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auto"/>
            <w:vAlign w:val="center"/>
          </w:tcPr>
          <w:p w14:paraId="7162435D">
            <w:pPr>
              <w:pStyle w:val="6"/>
              <w:widowControl/>
              <w:spacing w:beforeAutospacing="0" w:afterAutospacing="0" w:line="324" w:lineRule="atLeast"/>
            </w:pPr>
            <w:r>
              <w:rPr>
                <w:rStyle w:val="10"/>
              </w:rPr>
              <w:t>Re-multiplex</w:t>
            </w:r>
          </w:p>
        </w:tc>
        <w:tc>
          <w:tcPr>
            <w:tcW w:w="0" w:type="auto"/>
            <w:gridSpan w:val="2"/>
            <w:shd w:val="clear" w:color="auto" w:fill="auto"/>
            <w:vAlign w:val="center"/>
          </w:tcPr>
          <w:p w14:paraId="35F34D69">
            <w:pPr>
              <w:pStyle w:val="6"/>
              <w:widowControl/>
              <w:spacing w:beforeAutospacing="0" w:afterAutospacing="0" w:line="324" w:lineRule="atLeast"/>
            </w:pPr>
            <w:r>
              <w:t>PID re-mapping (auto or manually available)</w:t>
            </w:r>
          </w:p>
        </w:tc>
      </w:tr>
      <w:tr w14:paraId="062DDF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6910123B">
            <w:pPr>
              <w:jc w:val="left"/>
              <w:rPr>
                <w:rFonts w:ascii="宋体"/>
                <w:sz w:val="24"/>
                <w:szCs w:val="24"/>
              </w:rPr>
            </w:pPr>
          </w:p>
        </w:tc>
        <w:tc>
          <w:tcPr>
            <w:tcW w:w="0" w:type="auto"/>
            <w:gridSpan w:val="2"/>
            <w:shd w:val="clear" w:color="auto" w:fill="auto"/>
            <w:vAlign w:val="center"/>
          </w:tcPr>
          <w:p w14:paraId="4D6A90BB">
            <w:pPr>
              <w:pStyle w:val="6"/>
              <w:widowControl/>
              <w:spacing w:beforeAutospacing="0" w:afterAutospacing="0" w:line="324" w:lineRule="atLeast"/>
            </w:pPr>
            <w:r>
              <w:t>PCR accurate adjusting</w:t>
            </w:r>
          </w:p>
        </w:tc>
      </w:tr>
      <w:tr w14:paraId="2A8502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2655114A">
            <w:pPr>
              <w:jc w:val="left"/>
              <w:rPr>
                <w:rFonts w:ascii="宋体"/>
                <w:sz w:val="24"/>
                <w:szCs w:val="24"/>
              </w:rPr>
            </w:pPr>
          </w:p>
        </w:tc>
        <w:tc>
          <w:tcPr>
            <w:tcW w:w="0" w:type="auto"/>
            <w:gridSpan w:val="2"/>
            <w:shd w:val="clear" w:color="auto" w:fill="auto"/>
            <w:vAlign w:val="center"/>
          </w:tcPr>
          <w:p w14:paraId="5ADBBA81">
            <w:pPr>
              <w:pStyle w:val="6"/>
              <w:widowControl/>
              <w:spacing w:beforeAutospacing="0" w:afterAutospacing="0" w:line="324" w:lineRule="atLeast"/>
            </w:pPr>
            <w:r>
              <w:t>Automatic generating PSI/SI table</w:t>
            </w:r>
          </w:p>
        </w:tc>
      </w:tr>
      <w:tr w14:paraId="42A3F6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45DFD61A">
            <w:pPr>
              <w:jc w:val="left"/>
              <w:rPr>
                <w:rFonts w:ascii="宋体"/>
                <w:sz w:val="24"/>
                <w:szCs w:val="24"/>
              </w:rPr>
            </w:pPr>
          </w:p>
        </w:tc>
        <w:tc>
          <w:tcPr>
            <w:tcW w:w="0" w:type="auto"/>
            <w:gridSpan w:val="2"/>
            <w:shd w:val="clear" w:color="auto" w:fill="auto"/>
            <w:vAlign w:val="center"/>
          </w:tcPr>
          <w:p w14:paraId="4C415862">
            <w:pPr>
              <w:pStyle w:val="6"/>
              <w:widowControl/>
              <w:spacing w:beforeAutospacing="0" w:afterAutospacing="0" w:line="324" w:lineRule="atLeast"/>
            </w:pPr>
            <w:r>
              <w:t>PID passthrough</w:t>
            </w:r>
          </w:p>
        </w:tc>
      </w:tr>
      <w:tr w14:paraId="37881E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2DB59D72">
            <w:pPr>
              <w:jc w:val="left"/>
              <w:rPr>
                <w:rFonts w:ascii="宋体"/>
                <w:sz w:val="24"/>
                <w:szCs w:val="24"/>
              </w:rPr>
            </w:pPr>
          </w:p>
        </w:tc>
        <w:tc>
          <w:tcPr>
            <w:tcW w:w="0" w:type="auto"/>
            <w:gridSpan w:val="2"/>
            <w:shd w:val="clear" w:color="auto" w:fill="auto"/>
            <w:vAlign w:val="center"/>
          </w:tcPr>
          <w:p w14:paraId="04266699">
            <w:pPr>
              <w:pStyle w:val="6"/>
              <w:widowControl/>
              <w:spacing w:beforeAutospacing="0" w:afterAutospacing="0" w:line="324" w:lineRule="atLeast"/>
            </w:pPr>
            <w:r>
              <w:t>Support multiplex maximum 2048 PIDs each output channel</w:t>
            </w:r>
          </w:p>
        </w:tc>
      </w:tr>
      <w:tr w14:paraId="190AC2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auto"/>
            <w:vAlign w:val="center"/>
          </w:tcPr>
          <w:p w14:paraId="5F248508">
            <w:pPr>
              <w:pStyle w:val="6"/>
              <w:widowControl/>
              <w:spacing w:beforeAutospacing="0" w:afterAutospacing="0" w:line="324" w:lineRule="atLeast"/>
            </w:pPr>
            <w:r>
              <w:rPr>
                <w:rStyle w:val="10"/>
              </w:rPr>
              <w:t>Output port</w:t>
            </w:r>
          </w:p>
        </w:tc>
        <w:tc>
          <w:tcPr>
            <w:tcW w:w="0" w:type="auto"/>
            <w:shd w:val="clear" w:color="auto" w:fill="auto"/>
            <w:vAlign w:val="center"/>
          </w:tcPr>
          <w:p w14:paraId="688E0846">
            <w:pPr>
              <w:pStyle w:val="6"/>
              <w:widowControl/>
              <w:spacing w:beforeAutospacing="0" w:afterAutospacing="0" w:line="324" w:lineRule="atLeast"/>
            </w:pPr>
            <w:r>
              <w:t> ASI</w:t>
            </w:r>
          </w:p>
        </w:tc>
        <w:tc>
          <w:tcPr>
            <w:tcW w:w="0" w:type="auto"/>
            <w:shd w:val="clear" w:color="auto" w:fill="auto"/>
            <w:vAlign w:val="center"/>
          </w:tcPr>
          <w:p w14:paraId="143AB2CB">
            <w:pPr>
              <w:pStyle w:val="6"/>
              <w:widowControl/>
              <w:spacing w:beforeAutospacing="0" w:afterAutospacing="0" w:line="324" w:lineRule="atLeast"/>
            </w:pPr>
            <w:r>
              <w:t>2 x independent channels of ASI output (each channel has 2 ports) (up to 210Mbps)</w:t>
            </w:r>
          </w:p>
        </w:tc>
      </w:tr>
      <w:tr w14:paraId="31FA15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49B911A5">
            <w:pPr>
              <w:jc w:val="left"/>
              <w:rPr>
                <w:rFonts w:ascii="宋体"/>
                <w:sz w:val="24"/>
                <w:szCs w:val="24"/>
              </w:rPr>
            </w:pPr>
          </w:p>
        </w:tc>
        <w:tc>
          <w:tcPr>
            <w:tcW w:w="0" w:type="auto"/>
            <w:shd w:val="clear" w:color="auto" w:fill="auto"/>
            <w:vAlign w:val="center"/>
          </w:tcPr>
          <w:p w14:paraId="49238D9D">
            <w:pPr>
              <w:pStyle w:val="6"/>
              <w:widowControl/>
              <w:spacing w:beforeAutospacing="0" w:afterAutospacing="0" w:line="324" w:lineRule="atLeast"/>
            </w:pPr>
            <w:r>
              <w:t> IP(RJ45,GE)</w:t>
            </w:r>
          </w:p>
        </w:tc>
        <w:tc>
          <w:tcPr>
            <w:tcW w:w="0" w:type="auto"/>
            <w:shd w:val="clear" w:color="auto" w:fill="auto"/>
            <w:vAlign w:val="center"/>
          </w:tcPr>
          <w:p w14:paraId="0DE68388">
            <w:pPr>
              <w:pStyle w:val="6"/>
              <w:widowControl/>
              <w:spacing w:beforeAutospacing="0" w:afterAutospacing="0" w:line="324" w:lineRule="atLeast"/>
            </w:pPr>
            <w:r>
              <w:t> 2 x IP (Unitcast/Multicast), UDP Protocol (up to 230Mbps)</w:t>
            </w:r>
          </w:p>
        </w:tc>
      </w:tr>
      <w:tr w14:paraId="6B1C1C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14:paraId="6EB1805E">
            <w:pPr>
              <w:pStyle w:val="6"/>
              <w:widowControl/>
              <w:spacing w:beforeAutospacing="0" w:afterAutospacing="0" w:line="324" w:lineRule="atLeast"/>
            </w:pPr>
            <w:r>
              <w:rPr>
                <w:rStyle w:val="10"/>
              </w:rPr>
              <w:t>NMS port</w:t>
            </w:r>
          </w:p>
        </w:tc>
        <w:tc>
          <w:tcPr>
            <w:tcW w:w="0" w:type="auto"/>
            <w:shd w:val="clear" w:color="auto" w:fill="auto"/>
            <w:vAlign w:val="center"/>
          </w:tcPr>
          <w:p w14:paraId="4EB11EB2">
            <w:pPr>
              <w:pStyle w:val="6"/>
              <w:widowControl/>
              <w:spacing w:beforeAutospacing="0" w:afterAutospacing="0" w:line="324" w:lineRule="atLeast"/>
            </w:pPr>
            <w:r>
              <w:t>Ethernet port</w:t>
            </w:r>
          </w:p>
        </w:tc>
        <w:tc>
          <w:tcPr>
            <w:tcW w:w="0" w:type="auto"/>
            <w:shd w:val="clear" w:color="auto" w:fill="auto"/>
            <w:vAlign w:val="center"/>
          </w:tcPr>
          <w:p w14:paraId="120483EC">
            <w:pPr>
              <w:pStyle w:val="6"/>
              <w:widowControl/>
              <w:spacing w:beforeAutospacing="0" w:afterAutospacing="0" w:line="324" w:lineRule="atLeast"/>
            </w:pPr>
            <w:r>
              <w:t>GE</w:t>
            </w:r>
          </w:p>
        </w:tc>
      </w:tr>
      <w:tr w14:paraId="531985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auto"/>
            <w:vAlign w:val="center"/>
          </w:tcPr>
          <w:p w14:paraId="7F897C29">
            <w:pPr>
              <w:pStyle w:val="6"/>
              <w:widowControl/>
              <w:spacing w:beforeAutospacing="0" w:afterAutospacing="0" w:line="324" w:lineRule="atLeast"/>
            </w:pPr>
            <w:r>
              <w:rPr>
                <w:rStyle w:val="10"/>
              </w:rPr>
              <w:t>General</w:t>
            </w:r>
          </w:p>
        </w:tc>
        <w:tc>
          <w:tcPr>
            <w:tcW w:w="0" w:type="auto"/>
            <w:shd w:val="clear" w:color="auto" w:fill="auto"/>
            <w:vAlign w:val="center"/>
          </w:tcPr>
          <w:p w14:paraId="118B86E1">
            <w:pPr>
              <w:pStyle w:val="6"/>
              <w:widowControl/>
              <w:spacing w:beforeAutospacing="0" w:afterAutospacing="0" w:line="324" w:lineRule="atLeast"/>
            </w:pPr>
            <w:r>
              <w:t>Dimension</w:t>
            </w:r>
          </w:p>
        </w:tc>
        <w:tc>
          <w:tcPr>
            <w:tcW w:w="0" w:type="auto"/>
            <w:shd w:val="clear" w:color="auto" w:fill="auto"/>
            <w:vAlign w:val="center"/>
          </w:tcPr>
          <w:p w14:paraId="2DE79533">
            <w:pPr>
              <w:pStyle w:val="6"/>
              <w:widowControl/>
              <w:spacing w:beforeAutospacing="0" w:afterAutospacing="0" w:line="324" w:lineRule="atLeast"/>
            </w:pPr>
            <w:r>
              <w:t> 482mmx410mmx44mm(WxLxH)</w:t>
            </w:r>
          </w:p>
        </w:tc>
      </w:tr>
      <w:tr w14:paraId="164252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6388AC15">
            <w:pPr>
              <w:jc w:val="left"/>
              <w:rPr>
                <w:rFonts w:ascii="宋体"/>
                <w:sz w:val="24"/>
                <w:szCs w:val="24"/>
              </w:rPr>
            </w:pPr>
          </w:p>
        </w:tc>
        <w:tc>
          <w:tcPr>
            <w:tcW w:w="0" w:type="auto"/>
            <w:shd w:val="clear" w:color="auto" w:fill="auto"/>
            <w:vAlign w:val="center"/>
          </w:tcPr>
          <w:p w14:paraId="428C84C1">
            <w:pPr>
              <w:pStyle w:val="6"/>
              <w:widowControl/>
              <w:spacing w:beforeAutospacing="0" w:afterAutospacing="0" w:line="324" w:lineRule="atLeast"/>
            </w:pPr>
            <w:r>
              <w:t>Weight</w:t>
            </w:r>
          </w:p>
        </w:tc>
        <w:tc>
          <w:tcPr>
            <w:tcW w:w="0" w:type="auto"/>
            <w:shd w:val="clear" w:color="auto" w:fill="auto"/>
            <w:vAlign w:val="center"/>
          </w:tcPr>
          <w:p w14:paraId="45008D9D">
            <w:pPr>
              <w:pStyle w:val="6"/>
              <w:widowControl/>
              <w:spacing w:beforeAutospacing="0" w:afterAutospacing="0" w:line="324" w:lineRule="atLeast"/>
            </w:pPr>
            <w:r>
              <w:t> 2.0kg</w:t>
            </w:r>
          </w:p>
        </w:tc>
      </w:tr>
      <w:tr w14:paraId="2A1EAA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604D0B46">
            <w:pPr>
              <w:jc w:val="left"/>
              <w:rPr>
                <w:rFonts w:ascii="宋体"/>
                <w:sz w:val="24"/>
                <w:szCs w:val="24"/>
              </w:rPr>
            </w:pPr>
          </w:p>
        </w:tc>
        <w:tc>
          <w:tcPr>
            <w:tcW w:w="0" w:type="auto"/>
            <w:shd w:val="clear" w:color="auto" w:fill="auto"/>
            <w:vAlign w:val="center"/>
          </w:tcPr>
          <w:p w14:paraId="32B541B0">
            <w:pPr>
              <w:pStyle w:val="6"/>
              <w:widowControl/>
              <w:spacing w:beforeAutospacing="0" w:afterAutospacing="0" w:line="324" w:lineRule="atLeast"/>
            </w:pPr>
            <w:r>
              <w:t>Temperature</w:t>
            </w:r>
          </w:p>
        </w:tc>
        <w:tc>
          <w:tcPr>
            <w:tcW w:w="0" w:type="auto"/>
            <w:shd w:val="clear" w:color="auto" w:fill="auto"/>
            <w:vAlign w:val="center"/>
          </w:tcPr>
          <w:p w14:paraId="57667A84">
            <w:pPr>
              <w:pStyle w:val="6"/>
              <w:widowControl/>
              <w:spacing w:beforeAutospacing="0" w:afterAutospacing="0" w:line="324" w:lineRule="atLeast"/>
            </w:pPr>
            <w:r>
              <w:t>0~45℃(operation), -20~80℃(storage)</w:t>
            </w:r>
          </w:p>
        </w:tc>
      </w:tr>
      <w:tr w14:paraId="6AB70B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05CA3AB9">
            <w:pPr>
              <w:jc w:val="left"/>
              <w:rPr>
                <w:rFonts w:ascii="宋体"/>
                <w:sz w:val="24"/>
                <w:szCs w:val="24"/>
              </w:rPr>
            </w:pPr>
          </w:p>
        </w:tc>
        <w:tc>
          <w:tcPr>
            <w:tcW w:w="0" w:type="auto"/>
            <w:shd w:val="clear" w:color="auto" w:fill="auto"/>
            <w:vAlign w:val="center"/>
          </w:tcPr>
          <w:p w14:paraId="46D2CAE4">
            <w:pPr>
              <w:pStyle w:val="6"/>
              <w:widowControl/>
              <w:spacing w:beforeAutospacing="0" w:afterAutospacing="0" w:line="324" w:lineRule="atLeast"/>
            </w:pPr>
            <w:r>
              <w:t>Power supply</w:t>
            </w:r>
          </w:p>
        </w:tc>
        <w:tc>
          <w:tcPr>
            <w:tcW w:w="0" w:type="auto"/>
            <w:shd w:val="clear" w:color="auto" w:fill="auto"/>
            <w:vAlign w:val="center"/>
          </w:tcPr>
          <w:p w14:paraId="75A6B90D">
            <w:pPr>
              <w:pStyle w:val="6"/>
              <w:widowControl/>
              <w:spacing w:beforeAutospacing="0" w:afterAutospacing="0" w:line="324" w:lineRule="atLeast"/>
            </w:pPr>
            <w:r>
              <w:t> 110VAC±10%，50/60Hz; 220VAC±10%，50/60Hz</w:t>
            </w:r>
          </w:p>
        </w:tc>
      </w:tr>
      <w:tr w14:paraId="3ED3EC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014C425C">
            <w:pPr>
              <w:jc w:val="left"/>
              <w:rPr>
                <w:rFonts w:ascii="宋体"/>
                <w:sz w:val="24"/>
                <w:szCs w:val="24"/>
              </w:rPr>
            </w:pPr>
          </w:p>
        </w:tc>
        <w:tc>
          <w:tcPr>
            <w:tcW w:w="0" w:type="auto"/>
            <w:shd w:val="clear" w:color="auto" w:fill="auto"/>
            <w:vAlign w:val="center"/>
          </w:tcPr>
          <w:p w14:paraId="55C3706C">
            <w:pPr>
              <w:pStyle w:val="6"/>
              <w:widowControl/>
              <w:spacing w:beforeAutospacing="0" w:afterAutospacing="0" w:line="324" w:lineRule="atLeast"/>
            </w:pPr>
            <w:r>
              <w:t>Consumption</w:t>
            </w:r>
          </w:p>
        </w:tc>
        <w:tc>
          <w:tcPr>
            <w:tcW w:w="0" w:type="auto"/>
            <w:shd w:val="clear" w:color="auto" w:fill="auto"/>
            <w:vAlign w:val="center"/>
          </w:tcPr>
          <w:p w14:paraId="6FE79F93">
            <w:pPr>
              <w:pStyle w:val="6"/>
              <w:widowControl/>
              <w:spacing w:beforeAutospacing="0" w:afterAutospacing="0" w:line="324" w:lineRule="atLeast"/>
            </w:pPr>
            <w:r>
              <w:t> &lt;25w</w:t>
            </w:r>
          </w:p>
        </w:tc>
      </w:tr>
    </w:tbl>
    <w:p w14:paraId="3B975AF4">
      <w:pPr>
        <w:pStyle w:val="6"/>
        <w:widowControl/>
        <w:spacing w:beforeAutospacing="0" w:afterAutospacing="0" w:line="324" w:lineRule="atLeast"/>
      </w:pPr>
      <w:r>
        <w:rPr>
          <w:rFonts w:ascii="Verdana" w:hAnsi="Verdana" w:cs="Verdana"/>
          <w:color w:val="333333"/>
          <w:sz w:val="18"/>
          <w:szCs w:val="18"/>
          <w:shd w:val="clear" w:color="auto" w:fill="FEFCFD"/>
        </w:rPr>
        <w:t> </w:t>
      </w:r>
    </w:p>
    <w:p w14:paraId="08B132D4">
      <w:pPr>
        <w:widowControl/>
        <w:shd w:val="clear" w:color="auto" w:fill="F2F2F4"/>
        <w:jc w:val="left"/>
        <w:rPr>
          <w:rFonts w:ascii="Verdana" w:hAnsi="Verdana" w:cs="Verdana"/>
          <w:color w:val="333333"/>
          <w:sz w:val="18"/>
          <w:szCs w:val="18"/>
        </w:rPr>
      </w:pPr>
    </w:p>
    <w:p w14:paraId="741C1E58">
      <w:pPr>
        <w:rPr>
          <w:rFonts w:ascii="Verdana" w:hAnsi="Verdana" w:cs="Verdana"/>
          <w:color w:val="000000"/>
          <w:sz w:val="28"/>
        </w:rPr>
      </w:pPr>
    </w:p>
    <w:p w14:paraId="7FAE1014">
      <w:pPr>
        <w:rPr>
          <w:rFonts w:ascii="Verdana" w:hAnsi="Verdana" w:cs="Verdana"/>
          <w:b/>
          <w:color w:val="000000"/>
          <w:sz w:val="22"/>
        </w:rPr>
      </w:pPr>
      <w:r>
        <w:rPr>
          <w:rFonts w:hint="eastAsia" w:ascii="Verdana" w:hAnsi="Verdana" w:cs="Verdana"/>
          <w:b/>
          <w:color w:val="000000"/>
          <w:sz w:val="22"/>
        </w:rPr>
        <w:t>About Us</w:t>
      </w:r>
    </w:p>
    <w:p w14:paraId="3E831E83">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064CBB8">
      <w:pPr>
        <w:rPr>
          <w:rFonts w:ascii="Verdana" w:hAnsi="Verdana" w:cs="Verdana"/>
          <w:color w:val="000000"/>
          <w:sz w:val="18"/>
        </w:rPr>
      </w:pPr>
    </w:p>
    <w:p w14:paraId="609EAA7C">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6166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A489C1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FB8E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0185B"/>
    <w:rsid w:val="001B7162"/>
    <w:rsid w:val="001D0C80"/>
    <w:rsid w:val="001E63E5"/>
    <w:rsid w:val="00215238"/>
    <w:rsid w:val="00227839"/>
    <w:rsid w:val="00270F98"/>
    <w:rsid w:val="002B7AC8"/>
    <w:rsid w:val="003743F3"/>
    <w:rsid w:val="003F2047"/>
    <w:rsid w:val="00444478"/>
    <w:rsid w:val="00453C05"/>
    <w:rsid w:val="00465307"/>
    <w:rsid w:val="0049468E"/>
    <w:rsid w:val="00587368"/>
    <w:rsid w:val="00622ACE"/>
    <w:rsid w:val="00665764"/>
    <w:rsid w:val="00731840"/>
    <w:rsid w:val="007349B0"/>
    <w:rsid w:val="007359E2"/>
    <w:rsid w:val="0077681E"/>
    <w:rsid w:val="008D6808"/>
    <w:rsid w:val="00952937"/>
    <w:rsid w:val="00A0591C"/>
    <w:rsid w:val="00A16F8C"/>
    <w:rsid w:val="00A35CEF"/>
    <w:rsid w:val="00AE759F"/>
    <w:rsid w:val="00AF7C10"/>
    <w:rsid w:val="00B11FEF"/>
    <w:rsid w:val="00B4381C"/>
    <w:rsid w:val="00B539FF"/>
    <w:rsid w:val="00B56E04"/>
    <w:rsid w:val="00BD4043"/>
    <w:rsid w:val="00C44FAF"/>
    <w:rsid w:val="00D24477"/>
    <w:rsid w:val="00EE254B"/>
    <w:rsid w:val="00F268A0"/>
    <w:rsid w:val="00F714FF"/>
    <w:rsid w:val="00F7593F"/>
    <w:rsid w:val="00FC60FC"/>
    <w:rsid w:val="033D434A"/>
    <w:rsid w:val="05887D3E"/>
    <w:rsid w:val="0A294C8A"/>
    <w:rsid w:val="0A680B1B"/>
    <w:rsid w:val="0E714EC9"/>
    <w:rsid w:val="0FC87CEA"/>
    <w:rsid w:val="101C4557"/>
    <w:rsid w:val="15C25510"/>
    <w:rsid w:val="18AE427D"/>
    <w:rsid w:val="18E81EA3"/>
    <w:rsid w:val="1B4C56BF"/>
    <w:rsid w:val="1B974A15"/>
    <w:rsid w:val="1CDC4CA0"/>
    <w:rsid w:val="1FCC39C5"/>
    <w:rsid w:val="1FCE0C67"/>
    <w:rsid w:val="20F61905"/>
    <w:rsid w:val="2199682E"/>
    <w:rsid w:val="239E3C7B"/>
    <w:rsid w:val="27B55639"/>
    <w:rsid w:val="28A36454"/>
    <w:rsid w:val="2A752F8B"/>
    <w:rsid w:val="2C665CEA"/>
    <w:rsid w:val="2E0F6BE8"/>
    <w:rsid w:val="314F3E41"/>
    <w:rsid w:val="31923652"/>
    <w:rsid w:val="38295A0F"/>
    <w:rsid w:val="3A310246"/>
    <w:rsid w:val="3A3C2DC2"/>
    <w:rsid w:val="3B533162"/>
    <w:rsid w:val="41A66C27"/>
    <w:rsid w:val="45872050"/>
    <w:rsid w:val="478E224E"/>
    <w:rsid w:val="485E04E5"/>
    <w:rsid w:val="487316FE"/>
    <w:rsid w:val="48894017"/>
    <w:rsid w:val="48EB5FF8"/>
    <w:rsid w:val="49B75FAC"/>
    <w:rsid w:val="4E4A4BF6"/>
    <w:rsid w:val="4F8D25ED"/>
    <w:rsid w:val="51AD130D"/>
    <w:rsid w:val="540A3FAB"/>
    <w:rsid w:val="562E484B"/>
    <w:rsid w:val="56834992"/>
    <w:rsid w:val="5930748A"/>
    <w:rsid w:val="59933671"/>
    <w:rsid w:val="5AA83521"/>
    <w:rsid w:val="5EEA5249"/>
    <w:rsid w:val="609213A6"/>
    <w:rsid w:val="61BA6334"/>
    <w:rsid w:val="63C27F07"/>
    <w:rsid w:val="67027E08"/>
    <w:rsid w:val="68AD6386"/>
    <w:rsid w:val="6AF40324"/>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ultiplexer/NDS3103%20IP%20multiplexer/3EEECN_2015022805395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277</Words>
  <Characters>1649</Characters>
  <Lines>14</Lines>
  <Paragraphs>4</Paragraphs>
  <TotalTime>0</TotalTime>
  <ScaleCrop>false</ScaleCrop>
  <LinksUpToDate>false</LinksUpToDate>
  <CharactersWithSpaces>1907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2026-08-11T06:39:32Z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