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57215">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FUQ-4216B ISDB-T Dual Multiplexer 12 ASI Inputs 2 IP UDP Outputs PSI-SI Editing PCR Adjustment SFN-Ready for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Headend</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70322020246"/>
            <wp:cNvGraphicFramePr/>
            <a:graphic xmlns:a="http://schemas.openxmlformats.org/drawingml/2006/main">
              <a:graphicData uri="http://schemas.openxmlformats.org/drawingml/2006/picture">
                <pic:pic xmlns:pic="http://schemas.openxmlformats.org/drawingml/2006/picture">
                  <pic:nvPicPr>
                    <pic:cNvPr id="1" name="图片 1" descr="3EEECN_20170322020246"/>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6F09AE81">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FUQ-4216B ISDB-T Multiplexer is a dual-channel TS re-multiplexer with 12 ASI inputs and 2 IP outputs over UDP. It processes transport streams by re-multiplexing, editing PSI/SI tables, and generating IIP packets. Supporting remote upgrades and network management, this device is ideal for broadcast headend applications in regions like Japan and South America.</w:t>
      </w:r>
      <w:r>
        <w:rPr>
          <w:rFonts w:ascii="Verdana" w:hAnsi="Verdana" w:cs="Verdana"/>
          <w:color w:val="333333"/>
          <w:sz w:val="18"/>
          <w:szCs w:val="18"/>
          <w:shd w:val="clear" w:color="auto" w:fill="FEFCFD"/>
        </w:rPr>
        <w:t> </w:t>
      </w:r>
    </w:p>
    <w:p w14:paraId="50D63301">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2A247D6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dual-channel TS re-multiplexing compliant with ISDB-T/ISDB-Tb standards.  </w:t>
      </w:r>
    </w:p>
    <w:p w14:paraId="3D17436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PSI/SI table editing and IIP packet generation.  </w:t>
      </w:r>
    </w:p>
    <w:p w14:paraId="58FD11A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12 ASI inputs and 2 IP outputs over UDP.  </w:t>
      </w:r>
    </w:p>
    <w:p w14:paraId="0505274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Facilitates SFN operations and hierarchical transmission.  </w:t>
      </w:r>
    </w:p>
    <w:p w14:paraId="0F837351">
      <w:pPr>
        <w:pStyle w:val="6"/>
        <w:widowControl/>
        <w:spacing w:beforeAutospacing="0" w:afterAutospacing="0" w:line="324" w:lineRule="atLeast"/>
      </w:pPr>
      <w:r>
        <w:rPr>
          <w:rFonts w:hint="eastAsia" w:ascii="Verdana" w:hAnsi="Verdana" w:cs="Verdana"/>
          <w:color w:val="333333"/>
          <w:sz w:val="18"/>
          <w:szCs w:val="18"/>
          <w:shd w:val="clear" w:color="auto" w:fill="FEFCFD"/>
        </w:rPr>
        <w:t>Includes PID filtering/re-mapping and accurate PCR adjusting.</w:t>
      </w:r>
    </w:p>
    <w:p w14:paraId="37096BE2">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321"/>
        <w:gridCol w:w="6429"/>
      </w:tblGrid>
      <w:tr w14:paraId="3C55DB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6E75FF42">
            <w:pPr>
              <w:pStyle w:val="6"/>
              <w:widowControl/>
              <w:spacing w:beforeAutospacing="0" w:afterAutospacing="0" w:line="324" w:lineRule="atLeast"/>
              <w:ind w:left="105"/>
            </w:pPr>
            <w:r>
              <w:rPr>
                <w:rStyle w:val="10"/>
              </w:rPr>
              <w:t>Signal inputting</w:t>
            </w:r>
          </w:p>
        </w:tc>
        <w:tc>
          <w:tcPr>
            <w:tcW w:w="5430" w:type="dxa"/>
            <w:shd w:val="clear" w:color="auto" w:fill="auto"/>
            <w:vAlign w:val="center"/>
          </w:tcPr>
          <w:p w14:paraId="09F38710">
            <w:pPr>
              <w:pStyle w:val="6"/>
              <w:widowControl/>
              <w:spacing w:beforeAutospacing="0" w:afterAutospacing="0" w:line="324" w:lineRule="atLeast"/>
              <w:ind w:left="105"/>
            </w:pPr>
            <w:r>
              <w:t>12 ASI input</w:t>
            </w:r>
          </w:p>
        </w:tc>
      </w:tr>
      <w:tr w14:paraId="23A50D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123C6255">
            <w:pPr>
              <w:jc w:val="left"/>
              <w:rPr>
                <w:rFonts w:ascii="宋体"/>
                <w:sz w:val="24"/>
                <w:szCs w:val="24"/>
              </w:rPr>
            </w:pPr>
          </w:p>
        </w:tc>
        <w:tc>
          <w:tcPr>
            <w:tcW w:w="5430" w:type="dxa"/>
            <w:shd w:val="clear" w:color="auto" w:fill="auto"/>
            <w:vAlign w:val="center"/>
          </w:tcPr>
          <w:p w14:paraId="08CAB402">
            <w:pPr>
              <w:pStyle w:val="6"/>
              <w:widowControl/>
              <w:spacing w:beforeAutospacing="0" w:afterAutospacing="0" w:line="324" w:lineRule="atLeast"/>
              <w:ind w:left="105"/>
            </w:pPr>
            <w:r>
              <w:t>188/204Byte transmission stream packet</w:t>
            </w:r>
          </w:p>
        </w:tc>
      </w:tr>
      <w:tr w14:paraId="728041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0B91AA73">
            <w:pPr>
              <w:jc w:val="left"/>
              <w:rPr>
                <w:rFonts w:ascii="宋体"/>
                <w:sz w:val="24"/>
                <w:szCs w:val="24"/>
              </w:rPr>
            </w:pPr>
          </w:p>
        </w:tc>
        <w:tc>
          <w:tcPr>
            <w:tcW w:w="5430" w:type="dxa"/>
            <w:shd w:val="clear" w:color="auto" w:fill="auto"/>
            <w:vAlign w:val="center"/>
          </w:tcPr>
          <w:p w14:paraId="5C481D7A">
            <w:pPr>
              <w:pStyle w:val="6"/>
              <w:widowControl/>
              <w:spacing w:beforeAutospacing="0" w:afterAutospacing="0" w:line="324" w:lineRule="atLeast"/>
              <w:ind w:left="105"/>
            </w:pPr>
            <w:r>
              <w:t>TS packet mode and suddenly code rate mode</w:t>
            </w:r>
          </w:p>
        </w:tc>
      </w:tr>
      <w:tr w14:paraId="2E04B6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57DF344E">
            <w:pPr>
              <w:jc w:val="left"/>
              <w:rPr>
                <w:rFonts w:ascii="宋体"/>
                <w:sz w:val="24"/>
                <w:szCs w:val="24"/>
              </w:rPr>
            </w:pPr>
          </w:p>
        </w:tc>
        <w:tc>
          <w:tcPr>
            <w:tcW w:w="5430" w:type="dxa"/>
            <w:shd w:val="clear" w:color="auto" w:fill="auto"/>
            <w:vAlign w:val="center"/>
          </w:tcPr>
          <w:p w14:paraId="0EAD2D73">
            <w:pPr>
              <w:pStyle w:val="6"/>
              <w:widowControl/>
              <w:spacing w:beforeAutospacing="0" w:afterAutospacing="0" w:line="324" w:lineRule="atLeast"/>
              <w:ind w:left="105"/>
            </w:pPr>
            <w:r>
              <w:t>GPS 10mhz reference clock inputting</w:t>
            </w:r>
          </w:p>
        </w:tc>
      </w:tr>
      <w:tr w14:paraId="52A4A6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09B36692">
            <w:pPr>
              <w:jc w:val="left"/>
              <w:rPr>
                <w:rFonts w:ascii="宋体"/>
                <w:sz w:val="24"/>
                <w:szCs w:val="24"/>
              </w:rPr>
            </w:pPr>
          </w:p>
        </w:tc>
        <w:tc>
          <w:tcPr>
            <w:tcW w:w="5430" w:type="dxa"/>
            <w:shd w:val="clear" w:color="auto" w:fill="auto"/>
            <w:vAlign w:val="center"/>
          </w:tcPr>
          <w:p w14:paraId="26D5F2D2">
            <w:pPr>
              <w:pStyle w:val="6"/>
              <w:widowControl/>
              <w:spacing w:beforeAutospacing="0" w:afterAutospacing="0" w:line="324" w:lineRule="atLeast"/>
              <w:ind w:left="105"/>
            </w:pPr>
            <w:r>
              <w:t>GPS 1pps signal inputting</w:t>
            </w:r>
          </w:p>
        </w:tc>
      </w:tr>
      <w:tr w14:paraId="3EE4E4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805" w:type="dxa"/>
            <w:vMerge w:val="restart"/>
            <w:shd w:val="clear" w:color="auto" w:fill="auto"/>
            <w:vAlign w:val="center"/>
          </w:tcPr>
          <w:p w14:paraId="7F036561">
            <w:pPr>
              <w:pStyle w:val="6"/>
              <w:widowControl/>
              <w:spacing w:beforeAutospacing="0" w:afterAutospacing="0" w:line="324" w:lineRule="atLeast"/>
              <w:ind w:left="105"/>
            </w:pPr>
            <w:r>
              <w:rPr>
                <w:rStyle w:val="10"/>
              </w:rPr>
              <w:t>Re-multiplexing</w:t>
            </w:r>
          </w:p>
        </w:tc>
        <w:tc>
          <w:tcPr>
            <w:tcW w:w="5430" w:type="dxa"/>
            <w:shd w:val="clear" w:color="auto" w:fill="auto"/>
            <w:vAlign w:val="center"/>
          </w:tcPr>
          <w:p w14:paraId="11EE1ACA">
            <w:pPr>
              <w:pStyle w:val="6"/>
              <w:widowControl/>
              <w:spacing w:beforeAutospacing="0" w:afterAutospacing="0" w:line="324" w:lineRule="atLeast"/>
              <w:ind w:left="105"/>
            </w:pPr>
            <w:r>
              <w:t>2 separate channels TS re-multiplexer</w:t>
            </w:r>
          </w:p>
        </w:tc>
      </w:tr>
      <w:tr w14:paraId="6AC1EE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4EDD2718">
            <w:pPr>
              <w:jc w:val="left"/>
              <w:rPr>
                <w:rFonts w:ascii="宋体"/>
                <w:sz w:val="24"/>
                <w:szCs w:val="24"/>
              </w:rPr>
            </w:pPr>
          </w:p>
        </w:tc>
        <w:tc>
          <w:tcPr>
            <w:tcW w:w="5430" w:type="dxa"/>
            <w:shd w:val="clear" w:color="auto" w:fill="auto"/>
            <w:vAlign w:val="center"/>
          </w:tcPr>
          <w:p w14:paraId="11B40470">
            <w:pPr>
              <w:pStyle w:val="6"/>
              <w:widowControl/>
              <w:spacing w:beforeAutospacing="0" w:afterAutospacing="0" w:line="324" w:lineRule="atLeast"/>
              <w:ind w:left="105"/>
            </w:pPr>
            <w:r>
              <w:t>PCR accurate adjusting</w:t>
            </w:r>
          </w:p>
        </w:tc>
      </w:tr>
      <w:tr w14:paraId="248F4C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13C49862">
            <w:pPr>
              <w:jc w:val="left"/>
              <w:rPr>
                <w:rFonts w:ascii="宋体"/>
                <w:sz w:val="24"/>
                <w:szCs w:val="24"/>
              </w:rPr>
            </w:pPr>
          </w:p>
        </w:tc>
        <w:tc>
          <w:tcPr>
            <w:tcW w:w="5430" w:type="dxa"/>
            <w:shd w:val="clear" w:color="auto" w:fill="auto"/>
            <w:vAlign w:val="center"/>
          </w:tcPr>
          <w:p w14:paraId="0BC2C63F">
            <w:pPr>
              <w:pStyle w:val="6"/>
              <w:widowControl/>
              <w:spacing w:beforeAutospacing="0" w:afterAutospacing="0" w:line="324" w:lineRule="atLeast"/>
              <w:ind w:left="105"/>
            </w:pPr>
            <w:r>
              <w:t>PSI/SI table automatically generating</w:t>
            </w:r>
          </w:p>
        </w:tc>
      </w:tr>
      <w:tr w14:paraId="236F69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023A83E1">
            <w:pPr>
              <w:pStyle w:val="6"/>
              <w:widowControl/>
              <w:spacing w:beforeAutospacing="0" w:afterAutospacing="0" w:line="324" w:lineRule="atLeast"/>
              <w:ind w:left="105"/>
            </w:pPr>
            <w:r>
              <w:rPr>
                <w:rStyle w:val="10"/>
              </w:rPr>
              <w:t>Modulation parameter</w:t>
            </w:r>
          </w:p>
        </w:tc>
        <w:tc>
          <w:tcPr>
            <w:tcW w:w="5430" w:type="dxa"/>
            <w:shd w:val="clear" w:color="auto" w:fill="auto"/>
            <w:vAlign w:val="center"/>
          </w:tcPr>
          <w:p w14:paraId="08BCEAC0">
            <w:pPr>
              <w:pStyle w:val="6"/>
              <w:widowControl/>
              <w:spacing w:beforeAutospacing="0" w:afterAutospacing="0" w:line="324" w:lineRule="atLeast"/>
              <w:ind w:left="105"/>
            </w:pPr>
            <w:r>
              <w:t>mode：mode1(2k)    mode2(4k)    mode3(8k)</w:t>
            </w:r>
          </w:p>
        </w:tc>
      </w:tr>
      <w:tr w14:paraId="1F0E1D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09BB7FA">
            <w:pPr>
              <w:jc w:val="left"/>
              <w:rPr>
                <w:rFonts w:ascii="宋体"/>
                <w:sz w:val="24"/>
                <w:szCs w:val="24"/>
              </w:rPr>
            </w:pPr>
          </w:p>
        </w:tc>
        <w:tc>
          <w:tcPr>
            <w:tcW w:w="5430" w:type="dxa"/>
            <w:shd w:val="clear" w:color="auto" w:fill="auto"/>
            <w:vAlign w:val="center"/>
          </w:tcPr>
          <w:p w14:paraId="009B6154">
            <w:pPr>
              <w:pStyle w:val="6"/>
              <w:widowControl/>
              <w:spacing w:beforeAutospacing="0" w:afterAutospacing="0" w:line="324" w:lineRule="atLeast"/>
              <w:ind w:left="105"/>
            </w:pPr>
            <w:r>
              <w:t>Guard interval：1/4   1/8  1/16   1/32</w:t>
            </w:r>
          </w:p>
        </w:tc>
      </w:tr>
      <w:tr w14:paraId="5094A4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083FF9FB">
            <w:pPr>
              <w:jc w:val="left"/>
              <w:rPr>
                <w:rFonts w:ascii="宋体"/>
                <w:sz w:val="24"/>
                <w:szCs w:val="24"/>
              </w:rPr>
            </w:pPr>
          </w:p>
        </w:tc>
        <w:tc>
          <w:tcPr>
            <w:tcW w:w="5430" w:type="dxa"/>
            <w:shd w:val="clear" w:color="auto" w:fill="auto"/>
            <w:vAlign w:val="center"/>
          </w:tcPr>
          <w:p w14:paraId="3A630720">
            <w:pPr>
              <w:pStyle w:val="6"/>
              <w:widowControl/>
              <w:spacing w:beforeAutospacing="0" w:afterAutospacing="0" w:line="324" w:lineRule="atLeast"/>
              <w:ind w:left="105"/>
            </w:pPr>
            <w:r>
              <w:t>Coding rate：1/2   2/3  3/4   5/6   7/8</w:t>
            </w:r>
          </w:p>
        </w:tc>
      </w:tr>
      <w:tr w14:paraId="528AFA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1BDA4E4F">
            <w:pPr>
              <w:jc w:val="left"/>
              <w:rPr>
                <w:rFonts w:ascii="宋体"/>
                <w:sz w:val="24"/>
                <w:szCs w:val="24"/>
              </w:rPr>
            </w:pPr>
          </w:p>
        </w:tc>
        <w:tc>
          <w:tcPr>
            <w:tcW w:w="5430" w:type="dxa"/>
            <w:shd w:val="clear" w:color="auto" w:fill="auto"/>
            <w:vAlign w:val="center"/>
          </w:tcPr>
          <w:p w14:paraId="51C9A7CC">
            <w:pPr>
              <w:pStyle w:val="6"/>
              <w:widowControl/>
              <w:spacing w:beforeAutospacing="0" w:afterAutospacing="0" w:line="324" w:lineRule="atLeast"/>
              <w:ind w:left="105"/>
            </w:pPr>
            <w:r>
              <w:t>constellation：DQPSK  QPSK  16QAM  64QAM</w:t>
            </w:r>
          </w:p>
        </w:tc>
      </w:tr>
      <w:tr w14:paraId="2E5267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082F307F">
            <w:pPr>
              <w:jc w:val="left"/>
              <w:rPr>
                <w:rFonts w:ascii="宋体"/>
                <w:sz w:val="24"/>
                <w:szCs w:val="24"/>
              </w:rPr>
            </w:pPr>
          </w:p>
        </w:tc>
        <w:tc>
          <w:tcPr>
            <w:tcW w:w="5430" w:type="dxa"/>
            <w:shd w:val="clear" w:color="auto" w:fill="auto"/>
            <w:vAlign w:val="center"/>
          </w:tcPr>
          <w:p w14:paraId="4EC9CFFB">
            <w:pPr>
              <w:pStyle w:val="6"/>
              <w:widowControl/>
              <w:spacing w:beforeAutospacing="0" w:afterAutospacing="0" w:line="324" w:lineRule="atLeast"/>
              <w:ind w:left="105"/>
            </w:pPr>
            <w:r>
              <w:t>Layer：A      A+B    A+B+C</w:t>
            </w:r>
          </w:p>
        </w:tc>
      </w:tr>
      <w:tr w14:paraId="2DDA2A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145D62B6">
            <w:pPr>
              <w:jc w:val="left"/>
              <w:rPr>
                <w:rFonts w:ascii="宋体"/>
                <w:sz w:val="24"/>
                <w:szCs w:val="24"/>
              </w:rPr>
            </w:pPr>
          </w:p>
        </w:tc>
        <w:tc>
          <w:tcPr>
            <w:tcW w:w="5430" w:type="dxa"/>
            <w:shd w:val="clear" w:color="auto" w:fill="auto"/>
            <w:vAlign w:val="center"/>
          </w:tcPr>
          <w:p w14:paraId="443281C3">
            <w:pPr>
              <w:pStyle w:val="6"/>
              <w:widowControl/>
              <w:spacing w:beforeAutospacing="0" w:afterAutospacing="0" w:line="324" w:lineRule="atLeast"/>
              <w:ind w:left="105"/>
            </w:pPr>
            <w:r>
              <w:t>Bandwidth: 6MHz    7MHz     8MHz</w:t>
            </w:r>
          </w:p>
        </w:tc>
      </w:tr>
      <w:tr w14:paraId="6BCC11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51582A65">
            <w:pPr>
              <w:pStyle w:val="6"/>
              <w:widowControl/>
              <w:spacing w:beforeAutospacing="0" w:afterAutospacing="0" w:line="324" w:lineRule="atLeast"/>
              <w:ind w:left="105"/>
            </w:pPr>
            <w:r>
              <w:rPr>
                <w:rStyle w:val="10"/>
              </w:rPr>
              <w:t>SFN parameter</w:t>
            </w:r>
          </w:p>
        </w:tc>
        <w:tc>
          <w:tcPr>
            <w:tcW w:w="5430" w:type="dxa"/>
            <w:shd w:val="clear" w:color="auto" w:fill="auto"/>
            <w:vAlign w:val="center"/>
          </w:tcPr>
          <w:p w14:paraId="545131D6">
            <w:pPr>
              <w:pStyle w:val="6"/>
              <w:widowControl/>
              <w:spacing w:beforeAutospacing="0" w:afterAutospacing="0" w:line="324" w:lineRule="atLeast"/>
              <w:ind w:left="105"/>
            </w:pPr>
            <w:r>
              <w:t>Maximum time delay：0ms ～ 1000ms</w:t>
            </w:r>
          </w:p>
        </w:tc>
      </w:tr>
      <w:tr w14:paraId="10C0A3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10A13DF">
            <w:pPr>
              <w:jc w:val="left"/>
              <w:rPr>
                <w:rFonts w:ascii="宋体"/>
                <w:sz w:val="24"/>
                <w:szCs w:val="24"/>
              </w:rPr>
            </w:pPr>
          </w:p>
        </w:tc>
        <w:tc>
          <w:tcPr>
            <w:tcW w:w="5430" w:type="dxa"/>
            <w:shd w:val="clear" w:color="auto" w:fill="auto"/>
            <w:vAlign w:val="center"/>
          </w:tcPr>
          <w:p w14:paraId="22A3A8FF">
            <w:pPr>
              <w:pStyle w:val="6"/>
              <w:widowControl/>
              <w:spacing w:beforeAutospacing="0" w:afterAutospacing="0" w:line="324" w:lineRule="atLeast"/>
              <w:ind w:left="105"/>
            </w:pPr>
            <w:r>
              <w:t>Off set：-1000ms ～ +1000ms</w:t>
            </w:r>
          </w:p>
        </w:tc>
      </w:tr>
      <w:tr w14:paraId="2A6766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21C7B1F2">
            <w:pPr>
              <w:jc w:val="left"/>
              <w:rPr>
                <w:rFonts w:ascii="宋体"/>
                <w:sz w:val="24"/>
                <w:szCs w:val="24"/>
              </w:rPr>
            </w:pPr>
          </w:p>
        </w:tc>
        <w:tc>
          <w:tcPr>
            <w:tcW w:w="5430" w:type="dxa"/>
            <w:shd w:val="clear" w:color="auto" w:fill="auto"/>
            <w:vAlign w:val="center"/>
          </w:tcPr>
          <w:p w14:paraId="7C832651">
            <w:pPr>
              <w:pStyle w:val="6"/>
              <w:widowControl/>
              <w:spacing w:beforeAutospacing="0" w:afterAutospacing="0" w:line="324" w:lineRule="atLeast"/>
              <w:ind w:left="105"/>
            </w:pPr>
            <w:r>
              <w:t>Device ID ：01 ～ 30</w:t>
            </w:r>
          </w:p>
        </w:tc>
      </w:tr>
      <w:tr w14:paraId="121995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28B836F7">
            <w:pPr>
              <w:pStyle w:val="6"/>
              <w:widowControl/>
              <w:spacing w:beforeAutospacing="0" w:afterAutospacing="0" w:line="324" w:lineRule="atLeast"/>
              <w:ind w:left="105"/>
            </w:pPr>
            <w:r>
              <w:rPr>
                <w:rStyle w:val="10"/>
              </w:rPr>
              <w:t>Output</w:t>
            </w:r>
          </w:p>
        </w:tc>
        <w:tc>
          <w:tcPr>
            <w:tcW w:w="5430" w:type="dxa"/>
            <w:shd w:val="clear" w:color="auto" w:fill="auto"/>
            <w:vAlign w:val="center"/>
          </w:tcPr>
          <w:p w14:paraId="1187808C">
            <w:pPr>
              <w:pStyle w:val="6"/>
              <w:widowControl/>
              <w:spacing w:beforeAutospacing="0" w:afterAutospacing="0" w:line="324" w:lineRule="atLeast"/>
              <w:ind w:left="105"/>
            </w:pPr>
            <w:r>
              <w:t>2 ASI output(BNC)</w:t>
            </w:r>
          </w:p>
        </w:tc>
      </w:tr>
      <w:tr w14:paraId="723A49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C241879">
            <w:pPr>
              <w:jc w:val="left"/>
              <w:rPr>
                <w:rFonts w:ascii="宋体"/>
                <w:sz w:val="24"/>
                <w:szCs w:val="24"/>
              </w:rPr>
            </w:pPr>
          </w:p>
        </w:tc>
        <w:tc>
          <w:tcPr>
            <w:tcW w:w="5430" w:type="dxa"/>
            <w:shd w:val="clear" w:color="auto" w:fill="auto"/>
            <w:vAlign w:val="center"/>
          </w:tcPr>
          <w:p w14:paraId="35DB8BED">
            <w:pPr>
              <w:pStyle w:val="6"/>
              <w:widowControl/>
              <w:spacing w:beforeAutospacing="0" w:afterAutospacing="0" w:line="324" w:lineRule="atLeast"/>
              <w:ind w:left="105"/>
            </w:pPr>
            <w:r>
              <w:t>2 IP output(UDP protocol)</w:t>
            </w:r>
          </w:p>
        </w:tc>
      </w:tr>
      <w:tr w14:paraId="28A3A2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46B5F67E">
            <w:pPr>
              <w:jc w:val="left"/>
              <w:rPr>
                <w:rFonts w:ascii="宋体"/>
                <w:sz w:val="24"/>
                <w:szCs w:val="24"/>
              </w:rPr>
            </w:pPr>
          </w:p>
        </w:tc>
        <w:tc>
          <w:tcPr>
            <w:tcW w:w="5430" w:type="dxa"/>
            <w:shd w:val="clear" w:color="auto" w:fill="auto"/>
            <w:vAlign w:val="center"/>
          </w:tcPr>
          <w:p w14:paraId="17A2954B">
            <w:pPr>
              <w:pStyle w:val="6"/>
              <w:widowControl/>
              <w:spacing w:beforeAutospacing="0" w:afterAutospacing="0" w:line="324" w:lineRule="atLeast"/>
            </w:pPr>
            <w:r>
              <w:t>  RS encoding output supporting</w:t>
            </w:r>
          </w:p>
        </w:tc>
      </w:tr>
      <w:tr w14:paraId="0E93D2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69936CB2">
            <w:pPr>
              <w:jc w:val="left"/>
              <w:rPr>
                <w:rFonts w:ascii="宋体"/>
                <w:sz w:val="24"/>
                <w:szCs w:val="24"/>
              </w:rPr>
            </w:pPr>
          </w:p>
        </w:tc>
        <w:tc>
          <w:tcPr>
            <w:tcW w:w="5430" w:type="dxa"/>
            <w:shd w:val="clear" w:color="auto" w:fill="auto"/>
            <w:vAlign w:val="center"/>
          </w:tcPr>
          <w:p w14:paraId="19F42519">
            <w:pPr>
              <w:pStyle w:val="6"/>
              <w:widowControl/>
              <w:spacing w:beforeAutospacing="0" w:afterAutospacing="0" w:line="324" w:lineRule="atLeast"/>
              <w:ind w:left="105"/>
            </w:pPr>
            <w:r>
              <w:t>GPS 1pps and GPS 10Mhz loop-out(BNC)</w:t>
            </w:r>
          </w:p>
        </w:tc>
      </w:tr>
      <w:tr w14:paraId="7E250E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69F42106">
            <w:pPr>
              <w:pStyle w:val="6"/>
              <w:widowControl/>
              <w:spacing w:beforeAutospacing="0" w:afterAutospacing="0" w:line="324" w:lineRule="atLeast"/>
              <w:ind w:left="105"/>
            </w:pPr>
            <w:r>
              <w:rPr>
                <w:rStyle w:val="10"/>
              </w:rPr>
              <w:t>General</w:t>
            </w:r>
          </w:p>
        </w:tc>
        <w:tc>
          <w:tcPr>
            <w:tcW w:w="5430" w:type="dxa"/>
            <w:shd w:val="clear" w:color="auto" w:fill="auto"/>
            <w:vAlign w:val="center"/>
          </w:tcPr>
          <w:p w14:paraId="13CADEBD">
            <w:pPr>
              <w:pStyle w:val="6"/>
              <w:widowControl/>
              <w:spacing w:beforeAutospacing="0" w:afterAutospacing="0" w:line="324" w:lineRule="atLeast"/>
              <w:ind w:left="105"/>
            </w:pPr>
            <w:r>
              <w:t>Demission：44mmx482mmx410mm</w:t>
            </w:r>
          </w:p>
        </w:tc>
      </w:tr>
      <w:tr w14:paraId="2B551B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4F13476C">
            <w:pPr>
              <w:jc w:val="left"/>
              <w:rPr>
                <w:rFonts w:ascii="宋体"/>
                <w:sz w:val="24"/>
                <w:szCs w:val="24"/>
              </w:rPr>
            </w:pPr>
          </w:p>
        </w:tc>
        <w:tc>
          <w:tcPr>
            <w:tcW w:w="5430" w:type="dxa"/>
            <w:shd w:val="clear" w:color="auto" w:fill="auto"/>
            <w:vAlign w:val="center"/>
          </w:tcPr>
          <w:p w14:paraId="48F405C4">
            <w:pPr>
              <w:pStyle w:val="6"/>
              <w:widowControl/>
              <w:spacing w:beforeAutospacing="0" w:afterAutospacing="0" w:line="324" w:lineRule="atLeast"/>
              <w:ind w:left="105"/>
            </w:pPr>
            <w:r>
              <w:t>Temperature：0～45℃(operation)    -20～80℃（storage）</w:t>
            </w:r>
          </w:p>
        </w:tc>
      </w:tr>
      <w:tr w14:paraId="5EED87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AD2AA2B">
            <w:pPr>
              <w:jc w:val="left"/>
              <w:rPr>
                <w:rFonts w:ascii="宋体"/>
                <w:sz w:val="24"/>
                <w:szCs w:val="24"/>
              </w:rPr>
            </w:pPr>
          </w:p>
        </w:tc>
        <w:tc>
          <w:tcPr>
            <w:tcW w:w="5430" w:type="dxa"/>
            <w:shd w:val="clear" w:color="auto" w:fill="auto"/>
            <w:vAlign w:val="center"/>
          </w:tcPr>
          <w:p w14:paraId="0F92F94D">
            <w:pPr>
              <w:pStyle w:val="6"/>
              <w:widowControl/>
              <w:spacing w:beforeAutospacing="0" w:afterAutospacing="0" w:line="324" w:lineRule="atLeast"/>
              <w:ind w:left="105"/>
            </w:pPr>
            <w:r>
              <w:t>Power supply：220VAC±10%，50/60Hz，10W</w:t>
            </w:r>
          </w:p>
        </w:tc>
      </w:tr>
    </w:tbl>
    <w:p w14:paraId="0480F7B2">
      <w:pPr>
        <w:pStyle w:val="6"/>
        <w:widowControl/>
        <w:spacing w:beforeAutospacing="0" w:afterAutospacing="0" w:line="324" w:lineRule="atLeast"/>
      </w:pPr>
      <w:r>
        <w:rPr>
          <w:rFonts w:ascii="Verdana" w:hAnsi="Verdana" w:cs="Verdana"/>
          <w:color w:val="333333"/>
          <w:sz w:val="18"/>
          <w:szCs w:val="18"/>
          <w:shd w:val="clear" w:color="auto" w:fill="FEFCFD"/>
        </w:rPr>
        <w:t> </w:t>
      </w:r>
    </w:p>
    <w:p w14:paraId="3DAA3320">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34D3D94E">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954655"/>
            <wp:effectExtent l="0" t="0" r="3810" b="1714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954655"/>
                    </a:xfrm>
                    <a:prstGeom prst="rect">
                      <a:avLst/>
                    </a:prstGeom>
                    <a:noFill/>
                    <a:ln w="9525">
                      <a:noFill/>
                    </a:ln>
                  </pic:spPr>
                </pic:pic>
              </a:graphicData>
            </a:graphic>
          </wp:inline>
        </w:drawing>
      </w:r>
    </w:p>
    <w:p w14:paraId="5D1DCE7C">
      <w:pPr>
        <w:widowControl/>
        <w:shd w:val="clear" w:color="auto" w:fill="F2F2F4"/>
        <w:jc w:val="left"/>
        <w:rPr>
          <w:rFonts w:ascii="Verdana" w:hAnsi="Verdana" w:cs="Verdana"/>
          <w:color w:val="333333"/>
          <w:sz w:val="18"/>
          <w:szCs w:val="18"/>
        </w:rPr>
      </w:pPr>
    </w:p>
    <w:p w14:paraId="72975C81">
      <w:pPr>
        <w:rPr>
          <w:rFonts w:ascii="Verdana" w:hAnsi="Verdana" w:cs="Verdana"/>
          <w:color w:val="000000"/>
          <w:sz w:val="28"/>
        </w:rPr>
      </w:pPr>
    </w:p>
    <w:p w14:paraId="44D746ED">
      <w:pPr>
        <w:rPr>
          <w:rFonts w:ascii="Verdana" w:hAnsi="Verdana" w:cs="Verdana"/>
          <w:b/>
          <w:color w:val="000000"/>
          <w:sz w:val="22"/>
        </w:rPr>
      </w:pPr>
      <w:r>
        <w:rPr>
          <w:rFonts w:hint="eastAsia" w:ascii="Verdana" w:hAnsi="Verdana" w:cs="Verdana"/>
          <w:b/>
          <w:color w:val="000000"/>
          <w:sz w:val="22"/>
        </w:rPr>
        <w:t>About Us</w:t>
      </w:r>
    </w:p>
    <w:p w14:paraId="7EFAA7BD">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9747191">
      <w:pPr>
        <w:rPr>
          <w:rFonts w:ascii="Verdana" w:hAnsi="Verdana" w:cs="Verdana"/>
          <w:color w:val="000000"/>
          <w:sz w:val="18"/>
        </w:rPr>
      </w:pPr>
    </w:p>
    <w:p w14:paraId="6E5F214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5666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1518E3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2DE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644F1"/>
    <w:rsid w:val="00270F98"/>
    <w:rsid w:val="003743F3"/>
    <w:rsid w:val="003F2047"/>
    <w:rsid w:val="00444478"/>
    <w:rsid w:val="00453C05"/>
    <w:rsid w:val="00465307"/>
    <w:rsid w:val="0049468E"/>
    <w:rsid w:val="005542BF"/>
    <w:rsid w:val="00622ACE"/>
    <w:rsid w:val="00665764"/>
    <w:rsid w:val="006D6F0E"/>
    <w:rsid w:val="00731840"/>
    <w:rsid w:val="007349B0"/>
    <w:rsid w:val="007359E2"/>
    <w:rsid w:val="0077681E"/>
    <w:rsid w:val="008D6808"/>
    <w:rsid w:val="00952937"/>
    <w:rsid w:val="00A16F8C"/>
    <w:rsid w:val="00A35CEF"/>
    <w:rsid w:val="00AB3E50"/>
    <w:rsid w:val="00AE759F"/>
    <w:rsid w:val="00AF7C10"/>
    <w:rsid w:val="00B11FEF"/>
    <w:rsid w:val="00B4381C"/>
    <w:rsid w:val="00B539FF"/>
    <w:rsid w:val="00B56E04"/>
    <w:rsid w:val="00BD4043"/>
    <w:rsid w:val="00C44FAF"/>
    <w:rsid w:val="00D24477"/>
    <w:rsid w:val="00F268A0"/>
    <w:rsid w:val="00F714FF"/>
    <w:rsid w:val="00F7593F"/>
    <w:rsid w:val="00FC60FC"/>
    <w:rsid w:val="033D434A"/>
    <w:rsid w:val="07550E40"/>
    <w:rsid w:val="0A680B1B"/>
    <w:rsid w:val="0E714EC9"/>
    <w:rsid w:val="0FC87CEA"/>
    <w:rsid w:val="101C4557"/>
    <w:rsid w:val="15C25510"/>
    <w:rsid w:val="18AE427D"/>
    <w:rsid w:val="18E81EA3"/>
    <w:rsid w:val="1B974A15"/>
    <w:rsid w:val="1CDC4CA0"/>
    <w:rsid w:val="1E8E6568"/>
    <w:rsid w:val="1FCC39C5"/>
    <w:rsid w:val="20F61905"/>
    <w:rsid w:val="2199682E"/>
    <w:rsid w:val="239E3C7B"/>
    <w:rsid w:val="27B55639"/>
    <w:rsid w:val="2A752F8B"/>
    <w:rsid w:val="2BC03A97"/>
    <w:rsid w:val="2C665CEA"/>
    <w:rsid w:val="2E0F6BE8"/>
    <w:rsid w:val="30585812"/>
    <w:rsid w:val="31215943"/>
    <w:rsid w:val="314F3E41"/>
    <w:rsid w:val="3B533162"/>
    <w:rsid w:val="3E1A7CFD"/>
    <w:rsid w:val="45872050"/>
    <w:rsid w:val="478E224E"/>
    <w:rsid w:val="485E04E5"/>
    <w:rsid w:val="487316FE"/>
    <w:rsid w:val="49B75FAC"/>
    <w:rsid w:val="4B8B01F7"/>
    <w:rsid w:val="4E4A4BF6"/>
    <w:rsid w:val="4F736E41"/>
    <w:rsid w:val="4F8D25ED"/>
    <w:rsid w:val="51AD130D"/>
    <w:rsid w:val="540A3FAB"/>
    <w:rsid w:val="562E484B"/>
    <w:rsid w:val="56834992"/>
    <w:rsid w:val="5930748A"/>
    <w:rsid w:val="59933671"/>
    <w:rsid w:val="5AA83521"/>
    <w:rsid w:val="5EEA5249"/>
    <w:rsid w:val="609213A6"/>
    <w:rsid w:val="61BA6334"/>
    <w:rsid w:val="63C27F07"/>
    <w:rsid w:val="68AD6386"/>
    <w:rsid w:val="6D7A6503"/>
    <w:rsid w:val="70757613"/>
    <w:rsid w:val="70B756B4"/>
    <w:rsid w:val="73270F88"/>
    <w:rsid w:val="74455F31"/>
    <w:rsid w:val="7540100C"/>
    <w:rsid w:val="777B28A4"/>
    <w:rsid w:val="77935A18"/>
    <w:rsid w:val="7B8E7427"/>
    <w:rsid w:val="7D5F362B"/>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NDS3105A%20ISDB-T%20Multiplexer/3EEECN_2017032202095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323</Words>
  <Characters>1831</Characters>
  <Lines>19</Lines>
  <Paragraphs>5</Paragraphs>
  <TotalTime>0</TotalTime>
  <ScaleCrop>false</ScaleCrop>
  <LinksUpToDate>false</LinksUpToDate>
  <CharactersWithSpaces>2135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2025-08-20T07:30:35Z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