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E09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r>
        <w:rPr>
          <w:rFonts w:hint="eastAsia" w:ascii="Verdana" w:hAnsi="Verdana" w:cs="Verdana"/>
          <w:b/>
          <w:i w:val="0"/>
          <w:strike w:val="0"/>
          <w:color w:val="000000"/>
          <w:sz w:val="28"/>
          <w:lang w:val="en-US" w:eastAsia="zh-CN"/>
        </w:rPr>
        <w:t>FMUSER FUQ-4312D 4-input SD Encoder CVBS-S-Video-SD-SDI MPEG-2 AES-EBU Audio TS over UDP output Broadcast Headend System</w:t>
      </w:r>
    </w:p>
    <w:p w14:paraId="2AA978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bookmarkStart w:id="0" w:name="_GoBack"/>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80122011505"/>
            <wp:cNvGraphicFramePr/>
            <a:graphic xmlns:a="http://schemas.openxmlformats.org/drawingml/2006/main">
              <a:graphicData uri="http://schemas.openxmlformats.org/drawingml/2006/picture">
                <pic:pic xmlns:pic="http://schemas.openxmlformats.org/drawingml/2006/picture">
                  <pic:nvPicPr>
                    <pic:cNvPr id="1" name="图片 1" descr="3EEECN_20180122011505"/>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hint="eastAsia" w:ascii="Verdana" w:hAnsi="Verdana" w:cs="Verdana"/>
          <w:i w:val="0"/>
          <w:iCs w:val="0"/>
          <w:caps w:val="0"/>
          <w:color w:val="FF8C00"/>
          <w:spacing w:val="0"/>
          <w:sz w:val="18"/>
          <w:szCs w:val="18"/>
          <w:shd w:val="clear" w:fill="FEFCFD"/>
          <w:lang w:eastAsia="zh-CN"/>
        </w:rPr>
        <w:t>Product overview</w:t>
      </w:r>
    </w:p>
    <w:p w14:paraId="49ED8A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The FMUSER FUQ-4312D is a professional MPEG-2 SD encoder with 4 inputs (CVBS, S-Video, SD-SDI, and analog/AES/EBU audio). It processes PAL/NTSC signals (720×480/576) with de-interlacing and outputs ASI or UDP/IP transport streams. This 1U rack-mount unit supports dual control via LCD and web interface, ideal for broadcast headends and IP-based contribution networks.</w:t>
      </w:r>
    </w:p>
    <w:p w14:paraId="475C0E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FF8C00"/>
          <w:spacing w:val="0"/>
          <w:sz w:val="18"/>
          <w:szCs w:val="18"/>
          <w:shd w:val="clear" w:fill="FEFCFD"/>
          <w:lang w:eastAsia="zh-CN"/>
        </w:rPr>
        <w:t>Key feature</w:t>
      </w:r>
    </w:p>
    <w:p w14:paraId="253517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Controls via LCD panel &amp; web interface with GOP customization </w:t>
      </w:r>
    </w:p>
    <w:p w14:paraId="7D995A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18"/>
          <w:szCs w:val="18"/>
          <w:shd w:val="clear" w:fill="FEFCFD"/>
        </w:rPr>
        <w:t>Principle Chart</w:t>
      </w:r>
    </w:p>
    <w:p w14:paraId="499577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618105"/>
            <wp:effectExtent l="0" t="0" r="3810" b="1079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2618105"/>
                    </a:xfrm>
                    <a:prstGeom prst="rect">
                      <a:avLst/>
                    </a:prstGeom>
                    <a:noFill/>
                    <a:ln w="9525">
                      <a:noFill/>
                    </a:ln>
                  </pic:spPr>
                </pic:pic>
              </a:graphicData>
            </a:graphic>
          </wp:inline>
        </w:drawing>
      </w:r>
    </w:p>
    <w:p w14:paraId="21D7DC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shd w:val="clear" w:fill="FEFCFD"/>
        </w:rPr>
        <w:t> </w:t>
      </w:r>
    </w:p>
    <w:p w14:paraId="065468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18"/>
          <w:szCs w:val="18"/>
          <w:shd w:val="clear" w:fill="FEFCFD"/>
        </w:rPr>
        <w:t>Specifications</w:t>
      </w:r>
    </w:p>
    <w:p w14:paraId="7245A8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tbl>
      <w:tblPr>
        <w:tblStyle w:val="7"/>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200"/>
        <w:gridCol w:w="1800"/>
        <w:gridCol w:w="6030"/>
      </w:tblGrid>
      <w:tr w14:paraId="2EEFCB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200" w:type="dxa"/>
            <w:vMerge w:val="restart"/>
            <w:shd w:val="clear" w:color="auto" w:fill="auto"/>
            <w:vAlign w:val="center"/>
          </w:tcPr>
          <w:p w14:paraId="602327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1800" w:type="dxa"/>
            <w:vMerge w:val="restart"/>
            <w:shd w:val="clear" w:color="auto" w:fill="auto"/>
            <w:vAlign w:val="center"/>
          </w:tcPr>
          <w:p w14:paraId="6D2EDE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Video</w:t>
            </w:r>
          </w:p>
        </w:tc>
        <w:tc>
          <w:tcPr>
            <w:tcW w:w="6030" w:type="dxa"/>
            <w:shd w:val="clear" w:color="auto" w:fill="auto"/>
            <w:vAlign w:val="center"/>
          </w:tcPr>
          <w:p w14:paraId="20BC97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Analog composite video(CVBS), BNC interface</w:t>
            </w:r>
          </w:p>
        </w:tc>
      </w:tr>
      <w:tr w14:paraId="4BD587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200" w:type="dxa"/>
            <w:vMerge w:val="continue"/>
            <w:shd w:val="clear" w:color="auto" w:fill="auto"/>
            <w:vAlign w:val="center"/>
          </w:tcPr>
          <w:p w14:paraId="41C24A91">
            <w:pPr>
              <w:jc w:val="left"/>
              <w:rPr>
                <w:rFonts w:hint="eastAsia" w:ascii="宋体"/>
                <w:sz w:val="24"/>
                <w:szCs w:val="24"/>
              </w:rPr>
            </w:pPr>
          </w:p>
        </w:tc>
        <w:tc>
          <w:tcPr>
            <w:tcW w:w="1800" w:type="dxa"/>
            <w:vMerge w:val="continue"/>
            <w:shd w:val="clear" w:color="auto" w:fill="auto"/>
            <w:vAlign w:val="center"/>
          </w:tcPr>
          <w:p w14:paraId="08230D35">
            <w:pPr>
              <w:jc w:val="left"/>
              <w:rPr>
                <w:rFonts w:hint="eastAsia" w:ascii="宋体"/>
                <w:sz w:val="24"/>
                <w:szCs w:val="24"/>
              </w:rPr>
            </w:pPr>
          </w:p>
        </w:tc>
        <w:tc>
          <w:tcPr>
            <w:tcW w:w="6030" w:type="dxa"/>
            <w:shd w:val="clear" w:color="auto" w:fill="auto"/>
            <w:vAlign w:val="center"/>
          </w:tcPr>
          <w:p w14:paraId="7C85D4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S-Video interface</w:t>
            </w:r>
          </w:p>
        </w:tc>
      </w:tr>
      <w:tr w14:paraId="6B7BA2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200" w:type="dxa"/>
            <w:vMerge w:val="continue"/>
            <w:shd w:val="clear" w:color="auto" w:fill="auto"/>
            <w:vAlign w:val="center"/>
          </w:tcPr>
          <w:p w14:paraId="00B45097">
            <w:pPr>
              <w:jc w:val="left"/>
              <w:rPr>
                <w:rFonts w:hint="eastAsia" w:ascii="宋体"/>
                <w:sz w:val="24"/>
                <w:szCs w:val="24"/>
              </w:rPr>
            </w:pPr>
          </w:p>
        </w:tc>
        <w:tc>
          <w:tcPr>
            <w:tcW w:w="1800" w:type="dxa"/>
            <w:vMerge w:val="continue"/>
            <w:shd w:val="clear" w:color="auto" w:fill="auto"/>
            <w:vAlign w:val="center"/>
          </w:tcPr>
          <w:p w14:paraId="770BE609">
            <w:pPr>
              <w:jc w:val="left"/>
              <w:rPr>
                <w:rFonts w:hint="eastAsia" w:ascii="宋体"/>
                <w:sz w:val="24"/>
                <w:szCs w:val="24"/>
              </w:rPr>
            </w:pPr>
          </w:p>
        </w:tc>
        <w:tc>
          <w:tcPr>
            <w:tcW w:w="6030" w:type="dxa"/>
            <w:shd w:val="clear" w:color="auto" w:fill="auto"/>
            <w:vAlign w:val="center"/>
          </w:tcPr>
          <w:p w14:paraId="7CFE11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SD-SDI, BNC interface</w:t>
            </w:r>
          </w:p>
        </w:tc>
      </w:tr>
      <w:tr w14:paraId="3D9AAE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200" w:type="dxa"/>
            <w:vMerge w:val="continue"/>
            <w:shd w:val="clear" w:color="auto" w:fill="auto"/>
            <w:vAlign w:val="center"/>
          </w:tcPr>
          <w:p w14:paraId="406BEE7E">
            <w:pPr>
              <w:jc w:val="left"/>
              <w:rPr>
                <w:rFonts w:hint="eastAsia" w:ascii="宋体"/>
                <w:sz w:val="24"/>
                <w:szCs w:val="24"/>
              </w:rPr>
            </w:pPr>
          </w:p>
        </w:tc>
        <w:tc>
          <w:tcPr>
            <w:tcW w:w="1800" w:type="dxa"/>
            <w:vMerge w:val="restart"/>
            <w:shd w:val="clear" w:color="auto" w:fill="auto"/>
            <w:vAlign w:val="center"/>
          </w:tcPr>
          <w:p w14:paraId="103360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Audio</w:t>
            </w:r>
          </w:p>
        </w:tc>
        <w:tc>
          <w:tcPr>
            <w:tcW w:w="6030" w:type="dxa"/>
            <w:shd w:val="clear" w:color="auto" w:fill="auto"/>
            <w:vAlign w:val="center"/>
          </w:tcPr>
          <w:p w14:paraId="06293A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Analog stereo audio(balanced), XLR interface</w:t>
            </w:r>
          </w:p>
        </w:tc>
      </w:tr>
      <w:tr w14:paraId="03D034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1200" w:type="dxa"/>
            <w:vMerge w:val="continue"/>
            <w:shd w:val="clear" w:color="auto" w:fill="auto"/>
            <w:vAlign w:val="center"/>
          </w:tcPr>
          <w:p w14:paraId="017D1F49">
            <w:pPr>
              <w:jc w:val="left"/>
              <w:rPr>
                <w:rFonts w:hint="eastAsia" w:ascii="宋体"/>
                <w:sz w:val="24"/>
                <w:szCs w:val="24"/>
              </w:rPr>
            </w:pPr>
          </w:p>
        </w:tc>
        <w:tc>
          <w:tcPr>
            <w:tcW w:w="1800" w:type="dxa"/>
            <w:vMerge w:val="continue"/>
            <w:shd w:val="clear" w:color="auto" w:fill="auto"/>
            <w:vAlign w:val="center"/>
          </w:tcPr>
          <w:p w14:paraId="69E6954E">
            <w:pPr>
              <w:jc w:val="left"/>
              <w:rPr>
                <w:rFonts w:hint="eastAsia" w:ascii="宋体"/>
                <w:sz w:val="24"/>
                <w:szCs w:val="24"/>
              </w:rPr>
            </w:pPr>
          </w:p>
        </w:tc>
        <w:tc>
          <w:tcPr>
            <w:tcW w:w="6030" w:type="dxa"/>
            <w:shd w:val="clear" w:color="auto" w:fill="auto"/>
            <w:vAlign w:val="center"/>
          </w:tcPr>
          <w:p w14:paraId="6DD714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Analog stereo audio(unbalanced), BNC interface</w:t>
            </w:r>
          </w:p>
        </w:tc>
      </w:tr>
      <w:tr w14:paraId="30DAF8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200" w:type="dxa"/>
            <w:vMerge w:val="continue"/>
            <w:shd w:val="clear" w:color="auto" w:fill="auto"/>
            <w:vAlign w:val="center"/>
          </w:tcPr>
          <w:p w14:paraId="79632FA5">
            <w:pPr>
              <w:jc w:val="left"/>
              <w:rPr>
                <w:rFonts w:hint="eastAsia" w:ascii="宋体"/>
                <w:sz w:val="24"/>
                <w:szCs w:val="24"/>
              </w:rPr>
            </w:pPr>
          </w:p>
        </w:tc>
        <w:tc>
          <w:tcPr>
            <w:tcW w:w="1800" w:type="dxa"/>
            <w:vMerge w:val="continue"/>
            <w:shd w:val="clear" w:color="auto" w:fill="auto"/>
            <w:vAlign w:val="center"/>
          </w:tcPr>
          <w:p w14:paraId="494C4C56">
            <w:pPr>
              <w:jc w:val="left"/>
              <w:rPr>
                <w:rFonts w:hint="eastAsia" w:ascii="宋体"/>
                <w:sz w:val="24"/>
                <w:szCs w:val="24"/>
              </w:rPr>
            </w:pPr>
          </w:p>
        </w:tc>
        <w:tc>
          <w:tcPr>
            <w:tcW w:w="6030" w:type="dxa"/>
            <w:shd w:val="clear" w:color="auto" w:fill="auto"/>
            <w:vAlign w:val="center"/>
          </w:tcPr>
          <w:p w14:paraId="1B5277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AES / EBU digital audio, XLR interface</w:t>
            </w:r>
          </w:p>
        </w:tc>
      </w:tr>
      <w:tr w14:paraId="763A3B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200" w:type="dxa"/>
            <w:vMerge w:val="continue"/>
            <w:shd w:val="clear" w:color="auto" w:fill="auto"/>
            <w:vAlign w:val="center"/>
          </w:tcPr>
          <w:p w14:paraId="4F672720">
            <w:pPr>
              <w:jc w:val="left"/>
              <w:rPr>
                <w:rFonts w:hint="eastAsia" w:ascii="宋体"/>
                <w:sz w:val="24"/>
                <w:szCs w:val="24"/>
              </w:rPr>
            </w:pPr>
          </w:p>
        </w:tc>
        <w:tc>
          <w:tcPr>
            <w:tcW w:w="1800" w:type="dxa"/>
            <w:vMerge w:val="continue"/>
            <w:shd w:val="clear" w:color="auto" w:fill="auto"/>
            <w:vAlign w:val="center"/>
          </w:tcPr>
          <w:p w14:paraId="582D927D">
            <w:pPr>
              <w:jc w:val="left"/>
              <w:rPr>
                <w:rFonts w:hint="eastAsia" w:ascii="宋体"/>
                <w:sz w:val="24"/>
                <w:szCs w:val="24"/>
              </w:rPr>
            </w:pPr>
          </w:p>
        </w:tc>
        <w:tc>
          <w:tcPr>
            <w:tcW w:w="6030" w:type="dxa"/>
            <w:shd w:val="clear" w:color="auto" w:fill="auto"/>
            <w:vAlign w:val="center"/>
          </w:tcPr>
          <w:p w14:paraId="5D2242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SD-SDI embedded audio</w:t>
            </w:r>
          </w:p>
        </w:tc>
      </w:tr>
      <w:tr w14:paraId="17E394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200" w:type="dxa"/>
            <w:vMerge w:val="restart"/>
            <w:shd w:val="clear" w:color="auto" w:fill="auto"/>
            <w:vAlign w:val="center"/>
          </w:tcPr>
          <w:p w14:paraId="02AA99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Video</w:t>
            </w:r>
          </w:p>
        </w:tc>
        <w:tc>
          <w:tcPr>
            <w:tcW w:w="1800" w:type="dxa"/>
            <w:shd w:val="clear" w:color="auto" w:fill="auto"/>
            <w:vAlign w:val="center"/>
          </w:tcPr>
          <w:p w14:paraId="59214B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Resolution</w:t>
            </w:r>
          </w:p>
        </w:tc>
        <w:tc>
          <w:tcPr>
            <w:tcW w:w="6030" w:type="dxa"/>
            <w:shd w:val="clear" w:color="auto" w:fill="auto"/>
            <w:vAlign w:val="center"/>
          </w:tcPr>
          <w:p w14:paraId="1852BF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w:t>
            </w:r>
            <w:r>
              <w:softHyphen/>
            </w:r>
            <w:r>
              <w:t>_59.94i, 720×576_50i</w:t>
            </w:r>
          </w:p>
        </w:tc>
      </w:tr>
      <w:tr w14:paraId="1A4B6B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200" w:type="dxa"/>
            <w:vMerge w:val="continue"/>
            <w:shd w:val="clear" w:color="auto" w:fill="auto"/>
            <w:vAlign w:val="center"/>
          </w:tcPr>
          <w:p w14:paraId="7F5EC07A">
            <w:pPr>
              <w:jc w:val="left"/>
              <w:rPr>
                <w:rFonts w:hint="eastAsia" w:ascii="宋体"/>
                <w:sz w:val="24"/>
                <w:szCs w:val="24"/>
              </w:rPr>
            </w:pPr>
          </w:p>
        </w:tc>
        <w:tc>
          <w:tcPr>
            <w:tcW w:w="1800" w:type="dxa"/>
            <w:shd w:val="clear" w:color="auto" w:fill="auto"/>
            <w:vAlign w:val="center"/>
          </w:tcPr>
          <w:p w14:paraId="55CAA7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Encoding</w:t>
            </w:r>
          </w:p>
        </w:tc>
        <w:tc>
          <w:tcPr>
            <w:tcW w:w="6030" w:type="dxa"/>
            <w:shd w:val="clear" w:color="auto" w:fill="auto"/>
            <w:vAlign w:val="center"/>
          </w:tcPr>
          <w:p w14:paraId="5BB953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MP@ML</w:t>
            </w:r>
          </w:p>
        </w:tc>
      </w:tr>
      <w:tr w14:paraId="60B99E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200" w:type="dxa"/>
            <w:vMerge w:val="continue"/>
            <w:shd w:val="clear" w:color="auto" w:fill="auto"/>
            <w:vAlign w:val="center"/>
          </w:tcPr>
          <w:p w14:paraId="12C26EFE">
            <w:pPr>
              <w:jc w:val="left"/>
              <w:rPr>
                <w:rFonts w:hint="eastAsia" w:ascii="宋体"/>
                <w:sz w:val="24"/>
                <w:szCs w:val="24"/>
              </w:rPr>
            </w:pPr>
          </w:p>
        </w:tc>
        <w:tc>
          <w:tcPr>
            <w:tcW w:w="1800" w:type="dxa"/>
            <w:shd w:val="clear" w:color="auto" w:fill="auto"/>
            <w:vAlign w:val="center"/>
          </w:tcPr>
          <w:p w14:paraId="14F110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Bit-rate</w:t>
            </w:r>
          </w:p>
        </w:tc>
        <w:tc>
          <w:tcPr>
            <w:tcW w:w="6030" w:type="dxa"/>
            <w:shd w:val="clear" w:color="auto" w:fill="auto"/>
            <w:vAlign w:val="center"/>
          </w:tcPr>
          <w:p w14:paraId="2FFECD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0.8Mbps~19.5Mbps</w:t>
            </w:r>
          </w:p>
        </w:tc>
      </w:tr>
      <w:tr w14:paraId="6ED241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200" w:type="dxa"/>
            <w:vMerge w:val="continue"/>
            <w:shd w:val="clear" w:color="auto" w:fill="auto"/>
            <w:vAlign w:val="center"/>
          </w:tcPr>
          <w:p w14:paraId="38FA8441">
            <w:pPr>
              <w:jc w:val="left"/>
              <w:rPr>
                <w:rFonts w:hint="eastAsia" w:ascii="宋体"/>
                <w:sz w:val="24"/>
                <w:szCs w:val="24"/>
              </w:rPr>
            </w:pPr>
          </w:p>
        </w:tc>
        <w:tc>
          <w:tcPr>
            <w:tcW w:w="1800" w:type="dxa"/>
            <w:shd w:val="clear" w:color="auto" w:fill="auto"/>
            <w:vAlign w:val="center"/>
          </w:tcPr>
          <w:p w14:paraId="0D1CC6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Rate Control</w:t>
            </w:r>
          </w:p>
        </w:tc>
        <w:tc>
          <w:tcPr>
            <w:tcW w:w="6030" w:type="dxa"/>
            <w:shd w:val="clear" w:color="auto" w:fill="auto"/>
            <w:vAlign w:val="center"/>
          </w:tcPr>
          <w:p w14:paraId="56D6D5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210154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200" w:type="dxa"/>
            <w:vMerge w:val="continue"/>
            <w:shd w:val="clear" w:color="auto" w:fill="auto"/>
            <w:vAlign w:val="center"/>
          </w:tcPr>
          <w:p w14:paraId="63E98797">
            <w:pPr>
              <w:jc w:val="left"/>
              <w:rPr>
                <w:rFonts w:hint="eastAsia" w:ascii="宋体"/>
                <w:sz w:val="24"/>
                <w:szCs w:val="24"/>
              </w:rPr>
            </w:pPr>
          </w:p>
        </w:tc>
        <w:tc>
          <w:tcPr>
            <w:tcW w:w="1800" w:type="dxa"/>
            <w:shd w:val="clear" w:color="auto" w:fill="auto"/>
            <w:vAlign w:val="center"/>
          </w:tcPr>
          <w:p w14:paraId="22B76B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GOP Structure</w:t>
            </w:r>
          </w:p>
        </w:tc>
        <w:tc>
          <w:tcPr>
            <w:tcW w:w="6030" w:type="dxa"/>
            <w:shd w:val="clear" w:color="auto" w:fill="auto"/>
            <w:vAlign w:val="center"/>
          </w:tcPr>
          <w:p w14:paraId="0822E2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IIII, IPPP, IBPB, IBBP</w:t>
            </w:r>
          </w:p>
        </w:tc>
      </w:tr>
      <w:tr w14:paraId="244917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200" w:type="dxa"/>
            <w:vMerge w:val="continue"/>
            <w:shd w:val="clear" w:color="auto" w:fill="auto"/>
            <w:vAlign w:val="center"/>
          </w:tcPr>
          <w:p w14:paraId="5B10EA17">
            <w:pPr>
              <w:jc w:val="left"/>
              <w:rPr>
                <w:rFonts w:hint="eastAsia" w:ascii="宋体"/>
                <w:sz w:val="24"/>
                <w:szCs w:val="24"/>
              </w:rPr>
            </w:pPr>
          </w:p>
        </w:tc>
        <w:tc>
          <w:tcPr>
            <w:tcW w:w="1800" w:type="dxa"/>
            <w:shd w:val="clear" w:color="auto" w:fill="auto"/>
            <w:vAlign w:val="center"/>
          </w:tcPr>
          <w:p w14:paraId="2A355028">
            <w:pPr>
              <w:keepNext w:val="0"/>
              <w:keepLines w:val="0"/>
              <w:widowControl/>
              <w:suppressLineNumbers w:val="0"/>
              <w:spacing w:line="324" w:lineRule="atLeast"/>
              <w:jc w:val="left"/>
            </w:pPr>
            <w:r>
              <w:rPr>
                <w:rStyle w:val="10"/>
                <w:rFonts w:ascii="宋体" w:hAnsi="宋体" w:eastAsia="宋体" w:cs="宋体"/>
                <w:kern w:val="0"/>
                <w:sz w:val="24"/>
                <w:szCs w:val="24"/>
                <w:lang w:val="en-US" w:eastAsia="zh-CN" w:bidi="ar"/>
              </w:rPr>
              <w:t>Aspect Ratio</w:t>
            </w:r>
          </w:p>
        </w:tc>
        <w:tc>
          <w:tcPr>
            <w:tcW w:w="6030" w:type="dxa"/>
            <w:shd w:val="clear" w:color="auto" w:fill="auto"/>
            <w:vAlign w:val="center"/>
          </w:tcPr>
          <w:p w14:paraId="383528AF">
            <w:pPr>
              <w:keepNext w:val="0"/>
              <w:keepLines w:val="0"/>
              <w:widowControl/>
              <w:suppressLineNumbers w:val="0"/>
              <w:spacing w:line="324" w:lineRule="atLeast"/>
              <w:jc w:val="left"/>
            </w:pPr>
            <w:r>
              <w:rPr>
                <w:rFonts w:ascii="宋体" w:hAnsi="宋体" w:eastAsia="宋体" w:cs="宋体"/>
                <w:kern w:val="0"/>
                <w:sz w:val="24"/>
                <w:szCs w:val="24"/>
                <w:lang w:val="en-US" w:eastAsia="zh-CN" w:bidi="ar"/>
              </w:rPr>
              <w:t>4:3; 16:9</w:t>
            </w:r>
          </w:p>
        </w:tc>
      </w:tr>
      <w:tr w14:paraId="1B5C6F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200" w:type="dxa"/>
            <w:vMerge w:val="continue"/>
            <w:shd w:val="clear" w:color="auto" w:fill="auto"/>
            <w:vAlign w:val="center"/>
          </w:tcPr>
          <w:p w14:paraId="222D7891">
            <w:pPr>
              <w:jc w:val="left"/>
              <w:rPr>
                <w:rFonts w:hint="eastAsia" w:ascii="宋体"/>
                <w:sz w:val="24"/>
                <w:szCs w:val="24"/>
              </w:rPr>
            </w:pPr>
          </w:p>
        </w:tc>
        <w:tc>
          <w:tcPr>
            <w:tcW w:w="1800" w:type="dxa"/>
            <w:shd w:val="clear" w:color="auto" w:fill="auto"/>
            <w:vAlign w:val="center"/>
          </w:tcPr>
          <w:p w14:paraId="3F9F0B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Advanced Pretreatment</w:t>
            </w:r>
          </w:p>
        </w:tc>
        <w:tc>
          <w:tcPr>
            <w:tcW w:w="6030" w:type="dxa"/>
            <w:shd w:val="clear" w:color="auto" w:fill="auto"/>
            <w:vAlign w:val="center"/>
          </w:tcPr>
          <w:p w14:paraId="25E888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De-interlacing, noise reduction, sharpening</w:t>
            </w:r>
          </w:p>
        </w:tc>
      </w:tr>
      <w:tr w14:paraId="387408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200" w:type="dxa"/>
            <w:vMerge w:val="restart"/>
            <w:shd w:val="clear" w:color="auto" w:fill="auto"/>
            <w:vAlign w:val="center"/>
          </w:tcPr>
          <w:p w14:paraId="535EFC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Audio</w:t>
            </w:r>
          </w:p>
        </w:tc>
        <w:tc>
          <w:tcPr>
            <w:tcW w:w="1800" w:type="dxa"/>
            <w:shd w:val="clear" w:color="auto" w:fill="auto"/>
            <w:vAlign w:val="center"/>
          </w:tcPr>
          <w:p w14:paraId="00418E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Encoding</w:t>
            </w:r>
          </w:p>
        </w:tc>
        <w:tc>
          <w:tcPr>
            <w:tcW w:w="6030" w:type="dxa"/>
            <w:shd w:val="clear" w:color="auto" w:fill="auto"/>
            <w:vAlign w:val="center"/>
          </w:tcPr>
          <w:p w14:paraId="0C4E70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w:t>
            </w:r>
          </w:p>
        </w:tc>
      </w:tr>
      <w:tr w14:paraId="37E9D9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200" w:type="dxa"/>
            <w:vMerge w:val="continue"/>
            <w:shd w:val="clear" w:color="auto" w:fill="auto"/>
            <w:vAlign w:val="center"/>
          </w:tcPr>
          <w:p w14:paraId="39AD5A30">
            <w:pPr>
              <w:jc w:val="left"/>
              <w:rPr>
                <w:rFonts w:hint="eastAsia" w:ascii="宋体"/>
                <w:sz w:val="24"/>
                <w:szCs w:val="24"/>
              </w:rPr>
            </w:pPr>
          </w:p>
        </w:tc>
        <w:tc>
          <w:tcPr>
            <w:tcW w:w="1800" w:type="dxa"/>
            <w:shd w:val="clear" w:color="auto" w:fill="auto"/>
            <w:vAlign w:val="center"/>
          </w:tcPr>
          <w:p w14:paraId="30549C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Sampling rate</w:t>
            </w:r>
          </w:p>
        </w:tc>
        <w:tc>
          <w:tcPr>
            <w:tcW w:w="6030" w:type="dxa"/>
            <w:shd w:val="clear" w:color="auto" w:fill="auto"/>
            <w:vAlign w:val="center"/>
          </w:tcPr>
          <w:p w14:paraId="4549D6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 44.1KHz, 32KHz</w:t>
            </w:r>
          </w:p>
        </w:tc>
      </w:tr>
      <w:tr w14:paraId="29F8A9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200" w:type="dxa"/>
            <w:vMerge w:val="continue"/>
            <w:shd w:val="clear" w:color="auto" w:fill="auto"/>
            <w:vAlign w:val="center"/>
          </w:tcPr>
          <w:p w14:paraId="14B90380">
            <w:pPr>
              <w:jc w:val="left"/>
              <w:rPr>
                <w:rFonts w:hint="eastAsia" w:ascii="宋体"/>
                <w:sz w:val="24"/>
                <w:szCs w:val="24"/>
              </w:rPr>
            </w:pPr>
          </w:p>
        </w:tc>
        <w:tc>
          <w:tcPr>
            <w:tcW w:w="1800" w:type="dxa"/>
            <w:shd w:val="clear" w:color="auto" w:fill="auto"/>
            <w:vAlign w:val="center"/>
          </w:tcPr>
          <w:p w14:paraId="790084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Bitrate</w:t>
            </w:r>
          </w:p>
        </w:tc>
        <w:tc>
          <w:tcPr>
            <w:tcW w:w="6030" w:type="dxa"/>
            <w:shd w:val="clear" w:color="auto" w:fill="auto"/>
            <w:vAlign w:val="center"/>
          </w:tcPr>
          <w:p w14:paraId="751587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64Kbps</w:t>
            </w:r>
            <w:r>
              <w:softHyphen/>
            </w:r>
            <w:r>
              <w:t>—384Kbps</w:t>
            </w:r>
          </w:p>
        </w:tc>
      </w:tr>
      <w:tr w14:paraId="779E4B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3000" w:type="dxa"/>
            <w:gridSpan w:val="2"/>
            <w:vMerge w:val="restart"/>
            <w:shd w:val="clear" w:color="auto" w:fill="auto"/>
            <w:vAlign w:val="center"/>
          </w:tcPr>
          <w:p w14:paraId="511909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output</w:t>
            </w:r>
          </w:p>
        </w:tc>
        <w:tc>
          <w:tcPr>
            <w:tcW w:w="6030" w:type="dxa"/>
            <w:shd w:val="clear" w:color="auto" w:fill="auto"/>
            <w:vAlign w:val="center"/>
          </w:tcPr>
          <w:p w14:paraId="2A9C73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2-way ASI output, BNC interface</w:t>
            </w:r>
          </w:p>
        </w:tc>
      </w:tr>
      <w:tr w14:paraId="4394C5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1" w:hRule="atLeast"/>
          <w:tblCellSpacing w:w="0" w:type="dxa"/>
        </w:trPr>
        <w:tc>
          <w:tcPr>
            <w:tcW w:w="3000" w:type="dxa"/>
            <w:gridSpan w:val="2"/>
            <w:vMerge w:val="continue"/>
            <w:shd w:val="clear" w:color="auto" w:fill="auto"/>
            <w:vAlign w:val="center"/>
          </w:tcPr>
          <w:p w14:paraId="4DDC93EC">
            <w:pPr>
              <w:jc w:val="left"/>
              <w:rPr>
                <w:rFonts w:hint="eastAsia" w:ascii="宋体"/>
                <w:sz w:val="24"/>
                <w:szCs w:val="24"/>
              </w:rPr>
            </w:pPr>
          </w:p>
        </w:tc>
        <w:tc>
          <w:tcPr>
            <w:tcW w:w="6030" w:type="dxa"/>
            <w:shd w:val="clear" w:color="auto" w:fill="auto"/>
            <w:vAlign w:val="center"/>
          </w:tcPr>
          <w:p w14:paraId="6C22D9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E1 output –Optional</w:t>
            </w:r>
          </w:p>
        </w:tc>
      </w:tr>
      <w:tr w14:paraId="4321D9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25" w:hRule="atLeast"/>
          <w:tblCellSpacing w:w="0" w:type="dxa"/>
        </w:trPr>
        <w:tc>
          <w:tcPr>
            <w:tcW w:w="3000" w:type="dxa"/>
            <w:gridSpan w:val="2"/>
            <w:vMerge w:val="continue"/>
            <w:shd w:val="clear" w:color="auto" w:fill="auto"/>
            <w:vAlign w:val="center"/>
          </w:tcPr>
          <w:p w14:paraId="6E189569">
            <w:pPr>
              <w:jc w:val="left"/>
              <w:rPr>
                <w:rFonts w:hint="eastAsia" w:ascii="宋体"/>
                <w:sz w:val="24"/>
                <w:szCs w:val="24"/>
              </w:rPr>
            </w:pPr>
          </w:p>
        </w:tc>
        <w:tc>
          <w:tcPr>
            <w:tcW w:w="6030" w:type="dxa"/>
            <w:shd w:val="clear" w:color="auto" w:fill="auto"/>
            <w:vAlign w:val="center"/>
          </w:tcPr>
          <w:p w14:paraId="4087D8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TS output over UDP,100/1000Base-T Ethernet interface (UDP unicast / multicast)</w:t>
            </w:r>
          </w:p>
        </w:tc>
      </w:tr>
      <w:tr w14:paraId="4B9E96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3000" w:type="dxa"/>
            <w:gridSpan w:val="2"/>
            <w:vMerge w:val="restart"/>
            <w:shd w:val="clear" w:color="auto" w:fill="auto"/>
            <w:vAlign w:val="center"/>
          </w:tcPr>
          <w:p w14:paraId="79AE80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w:t>
            </w:r>
          </w:p>
        </w:tc>
        <w:tc>
          <w:tcPr>
            <w:tcW w:w="6030" w:type="dxa"/>
            <w:shd w:val="clear" w:color="auto" w:fill="auto"/>
            <w:vAlign w:val="center"/>
          </w:tcPr>
          <w:p w14:paraId="43DDAD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LCD/keyboard, network management(NMS)</w:t>
            </w:r>
          </w:p>
          <w:p w14:paraId="7F8721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Chinese and English language</w:t>
            </w:r>
          </w:p>
        </w:tc>
      </w:tr>
      <w:tr w14:paraId="18B216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3000" w:type="dxa"/>
            <w:gridSpan w:val="2"/>
            <w:vMerge w:val="continue"/>
            <w:shd w:val="clear" w:color="auto" w:fill="auto"/>
            <w:vAlign w:val="center"/>
          </w:tcPr>
          <w:p w14:paraId="24416AA4">
            <w:pPr>
              <w:jc w:val="left"/>
              <w:rPr>
                <w:rFonts w:hint="eastAsia" w:ascii="宋体"/>
                <w:sz w:val="24"/>
                <w:szCs w:val="24"/>
              </w:rPr>
            </w:pPr>
          </w:p>
        </w:tc>
        <w:tc>
          <w:tcPr>
            <w:tcW w:w="6030" w:type="dxa"/>
            <w:shd w:val="clear" w:color="auto" w:fill="auto"/>
            <w:vAlign w:val="center"/>
          </w:tcPr>
          <w:p w14:paraId="686C0E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04C55A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200" w:type="dxa"/>
            <w:vMerge w:val="restart"/>
            <w:shd w:val="clear" w:color="auto" w:fill="auto"/>
            <w:vAlign w:val="center"/>
          </w:tcPr>
          <w:p w14:paraId="557D59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General</w:t>
            </w:r>
          </w:p>
        </w:tc>
        <w:tc>
          <w:tcPr>
            <w:tcW w:w="1800" w:type="dxa"/>
            <w:shd w:val="clear" w:color="auto" w:fill="auto"/>
            <w:vAlign w:val="center"/>
          </w:tcPr>
          <w:p w14:paraId="48F6FA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Dimensions</w:t>
            </w:r>
          </w:p>
          <w:p w14:paraId="00B7EF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(WxDxH)</w:t>
            </w:r>
          </w:p>
        </w:tc>
        <w:tc>
          <w:tcPr>
            <w:tcW w:w="6030" w:type="dxa"/>
            <w:shd w:val="clear" w:color="auto" w:fill="auto"/>
            <w:vAlign w:val="center"/>
          </w:tcPr>
          <w:p w14:paraId="66C659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482mm×455mm×44.5mm</w:t>
            </w:r>
          </w:p>
        </w:tc>
      </w:tr>
      <w:tr w14:paraId="52C853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200" w:type="dxa"/>
            <w:vMerge w:val="continue"/>
            <w:shd w:val="clear" w:color="auto" w:fill="auto"/>
            <w:vAlign w:val="center"/>
          </w:tcPr>
          <w:p w14:paraId="627ADAE2">
            <w:pPr>
              <w:jc w:val="left"/>
              <w:rPr>
                <w:rFonts w:hint="eastAsia" w:ascii="宋体"/>
                <w:sz w:val="24"/>
                <w:szCs w:val="24"/>
              </w:rPr>
            </w:pPr>
          </w:p>
        </w:tc>
        <w:tc>
          <w:tcPr>
            <w:tcW w:w="1800" w:type="dxa"/>
            <w:shd w:val="clear" w:color="auto" w:fill="auto"/>
            <w:vAlign w:val="center"/>
          </w:tcPr>
          <w:p w14:paraId="338E2C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Temperature range</w:t>
            </w:r>
          </w:p>
        </w:tc>
        <w:tc>
          <w:tcPr>
            <w:tcW w:w="6030" w:type="dxa"/>
            <w:shd w:val="clear" w:color="auto" w:fill="auto"/>
            <w:vAlign w:val="center"/>
          </w:tcPr>
          <w:p w14:paraId="2CD583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-20~80℃(storage)</w:t>
            </w:r>
          </w:p>
        </w:tc>
      </w:tr>
      <w:tr w14:paraId="040AF5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200" w:type="dxa"/>
            <w:vMerge w:val="continue"/>
            <w:shd w:val="clear" w:color="auto" w:fill="auto"/>
            <w:vAlign w:val="center"/>
          </w:tcPr>
          <w:p w14:paraId="4CEA962A">
            <w:pPr>
              <w:jc w:val="left"/>
              <w:rPr>
                <w:rFonts w:hint="eastAsia" w:ascii="宋体"/>
                <w:sz w:val="24"/>
                <w:szCs w:val="24"/>
              </w:rPr>
            </w:pPr>
          </w:p>
        </w:tc>
        <w:tc>
          <w:tcPr>
            <w:tcW w:w="1800" w:type="dxa"/>
            <w:shd w:val="clear" w:color="auto" w:fill="auto"/>
            <w:vAlign w:val="center"/>
          </w:tcPr>
          <w:p w14:paraId="5AB27B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Power Requirements</w:t>
            </w:r>
          </w:p>
        </w:tc>
        <w:tc>
          <w:tcPr>
            <w:tcW w:w="6030" w:type="dxa"/>
            <w:shd w:val="clear" w:color="auto" w:fill="auto"/>
            <w:vAlign w:val="center"/>
          </w:tcPr>
          <w:p w14:paraId="38741C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110V±10%,50/60Hz or AC 220V±10%,50/60Hz</w:t>
            </w:r>
          </w:p>
        </w:tc>
      </w:tr>
    </w:tbl>
    <w:p w14:paraId="445B74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4" w:right="0"/>
        <w:jc w:val="left"/>
      </w:pPr>
      <w:r>
        <w:rPr>
          <w:rFonts w:hint="default" w:ascii="Verdana" w:hAnsi="Verdana" w:cs="Verdana"/>
          <w:i w:val="0"/>
          <w:iCs w:val="0"/>
          <w:caps w:val="0"/>
          <w:color w:val="333333"/>
          <w:spacing w:val="0"/>
          <w:sz w:val="18"/>
          <w:szCs w:val="18"/>
          <w:shd w:val="clear" w:fill="FEFCFD"/>
        </w:rPr>
        <w:t> </w:t>
      </w:r>
    </w:p>
    <w:p w14:paraId="6453C74F">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3C900818">
      <w:pPr>
        <w:rPr>
          <w:rFonts w:hint="default" w:ascii="Verdana" w:hAnsi="Verdana" w:cs="Verdana"/>
          <w:b w:val="0"/>
          <w:i w:val="0"/>
          <w:strike w:val="0"/>
          <w:color w:val="000000"/>
          <w:sz w:val="28"/>
          <w:lang w:val="en-US" w:eastAsia="zh-CN"/>
        </w:rPr>
      </w:pPr>
    </w:p>
    <w:p w14:paraId="2CC16385">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7E3C2051">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D32ABFD">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4071821D">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6A94B6B"/>
    <w:rsid w:val="0A680B1B"/>
    <w:rsid w:val="0C9D3284"/>
    <w:rsid w:val="0E201104"/>
    <w:rsid w:val="0E714EC9"/>
    <w:rsid w:val="0FC87CEA"/>
    <w:rsid w:val="101C4557"/>
    <w:rsid w:val="15C25510"/>
    <w:rsid w:val="18AE427D"/>
    <w:rsid w:val="18E81EA3"/>
    <w:rsid w:val="1B974A15"/>
    <w:rsid w:val="1CDC4CA0"/>
    <w:rsid w:val="1FCC39C5"/>
    <w:rsid w:val="20F61905"/>
    <w:rsid w:val="2199682E"/>
    <w:rsid w:val="239E3C7B"/>
    <w:rsid w:val="27B55639"/>
    <w:rsid w:val="27D06E9F"/>
    <w:rsid w:val="28753EED"/>
    <w:rsid w:val="2A752F8B"/>
    <w:rsid w:val="2C665CEA"/>
    <w:rsid w:val="2C8B3008"/>
    <w:rsid w:val="2E0F6BE8"/>
    <w:rsid w:val="2F5762C6"/>
    <w:rsid w:val="314F3E41"/>
    <w:rsid w:val="39C575B8"/>
    <w:rsid w:val="3B533162"/>
    <w:rsid w:val="3E06014A"/>
    <w:rsid w:val="45872050"/>
    <w:rsid w:val="45D61AE0"/>
    <w:rsid w:val="478E224E"/>
    <w:rsid w:val="485E04E5"/>
    <w:rsid w:val="487316FE"/>
    <w:rsid w:val="49B75FAC"/>
    <w:rsid w:val="4C0526A8"/>
    <w:rsid w:val="4E4A4BF6"/>
    <w:rsid w:val="4F8D25ED"/>
    <w:rsid w:val="4F934D5D"/>
    <w:rsid w:val="51AD130D"/>
    <w:rsid w:val="540A3FAB"/>
    <w:rsid w:val="562E484B"/>
    <w:rsid w:val="56834992"/>
    <w:rsid w:val="5930748A"/>
    <w:rsid w:val="59933671"/>
    <w:rsid w:val="5AA83521"/>
    <w:rsid w:val="5EEA5249"/>
    <w:rsid w:val="609213A6"/>
    <w:rsid w:val="61732815"/>
    <w:rsid w:val="61BA6334"/>
    <w:rsid w:val="63C27F07"/>
    <w:rsid w:val="68AD6386"/>
    <w:rsid w:val="6D7A6503"/>
    <w:rsid w:val="70757613"/>
    <w:rsid w:val="70B756B4"/>
    <w:rsid w:val="73270F88"/>
    <w:rsid w:val="74455F31"/>
    <w:rsid w:val="7540100C"/>
    <w:rsid w:val="776F4502"/>
    <w:rsid w:val="77935A18"/>
    <w:rsid w:val="7B8E7427"/>
    <w:rsid w:val="7DC0252A"/>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Encoder/NDS3201B/3EEECN_20160418064420.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260</Words>
  <Characters>1725</Characters>
  <Lines>4</Lines>
  <Paragraphs>1</Paragraphs>
  <TotalTime>29</TotalTime>
  <ScaleCrop>false</ScaleCrop>
  <LinksUpToDate>false</LinksUpToDate>
  <CharactersWithSpaces>1942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2026-08-11T07:12:41Z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