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A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FUQ-4315B 4-Channel Encoder 4× CVBS-S-Video-YPbPr Input ASI-IP Output MPEG-2 MPEG-1 Layer II Encoding Multiplexing for Cable Headends Satellite Broadcasting</w:t>
      </w:r>
    </w:p>
    <w:p w14:paraId="544830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60418033548"/>
            <wp:cNvGraphicFramePr/>
            <a:graphic xmlns:a="http://schemas.openxmlformats.org/drawingml/2006/main">
              <a:graphicData uri="http://schemas.openxmlformats.org/drawingml/2006/picture">
                <pic:pic xmlns:pic="http://schemas.openxmlformats.org/drawingml/2006/picture">
                  <pic:nvPicPr>
                    <pic:cNvPr id="1" name="图片 1" descr="3EEECN_20160418033548"/>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i w:val="0"/>
          <w:iCs w:val="0"/>
          <w:caps w:val="0"/>
          <w:color w:val="FF8C00"/>
          <w:spacing w:val="0"/>
          <w:sz w:val="18"/>
          <w:szCs w:val="18"/>
          <w:shd w:val="clear" w:fill="FEFCFD"/>
        </w:rPr>
        <w:t>Product Overview</w:t>
      </w:r>
    </w:p>
    <w:p w14:paraId="7AB88C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FUQ-4315E is a 4-channel encoder with CVBS/S-Video/YPbPr inputs, supporting MPEG-2 video and MPEG-1 Layer II audio encoding. It processes signals through ASI input multiplexing to generate MPTS streams, with outputs via IP and ASI. This unit features LCD+keyboard control and Web NMS/SNMP management. Ideal for digital headends in cable and satellite broadcasting systems.</w:t>
      </w:r>
      <w:r>
        <w:rPr>
          <w:rFonts w:hint="default" w:ascii="Verdana" w:hAnsi="Verdana" w:cs="Verdana"/>
          <w:i w:val="0"/>
          <w:iCs w:val="0"/>
          <w:caps w:val="0"/>
          <w:color w:val="333333"/>
          <w:spacing w:val="0"/>
          <w:sz w:val="18"/>
          <w:szCs w:val="18"/>
          <w:shd w:val="clear" w:fill="FEFCFD"/>
        </w:rPr>
        <w:t> </w:t>
      </w:r>
    </w:p>
    <w:p w14:paraId="5EA0F5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Style w:val="10"/>
          <w:rFonts w:hint="default" w:ascii="Verdana" w:hAnsi="Verdana" w:cs="Verdana"/>
          <w:i w:val="0"/>
          <w:iCs w:val="0"/>
          <w:caps w:val="0"/>
          <w:color w:val="FF8C00"/>
          <w:spacing w:val="0"/>
          <w:sz w:val="18"/>
          <w:szCs w:val="18"/>
          <w:shd w:val="clear" w:fill="FEFCFD"/>
        </w:rPr>
      </w:pPr>
      <w:r>
        <w:rPr>
          <w:rStyle w:val="10"/>
          <w:rFonts w:hint="eastAsia" w:ascii="Verdana" w:hAnsi="Verdana" w:cs="Verdana"/>
          <w:i w:val="0"/>
          <w:iCs w:val="0"/>
          <w:caps w:val="0"/>
          <w:color w:val="FF8C00"/>
          <w:spacing w:val="0"/>
          <w:sz w:val="18"/>
          <w:szCs w:val="18"/>
          <w:shd w:val="clear" w:fill="FEFCFD"/>
          <w:lang w:eastAsia="zh-CN"/>
        </w:rPr>
        <w:t>Key feature</w:t>
      </w:r>
      <w:r>
        <w:rPr>
          <w:rStyle w:val="10"/>
          <w:rFonts w:hint="default" w:ascii="Verdana" w:hAnsi="Verdana" w:cs="Verdana"/>
          <w:i w:val="0"/>
          <w:iCs w:val="0"/>
          <w:caps w:val="0"/>
          <w:color w:val="FF8C00"/>
          <w:spacing w:val="0"/>
          <w:sz w:val="18"/>
          <w:szCs w:val="18"/>
          <w:shd w:val="clear" w:fill="FEFCFD"/>
        </w:rPr>
        <w:t xml:space="preserve"> </w:t>
      </w:r>
    </w:p>
    <w:p w14:paraId="5F84E9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 Integrates 4× CVBS/S-Video/YPbPr inputs and 1× ASI input for flexible signal integration.  </w:t>
      </w:r>
    </w:p>
    <w:p w14:paraId="309549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 Supports MPEG-2 video encoding at 1-19.5Mbps and MPEG-1 Layer II audio encoding.  </w:t>
      </w:r>
    </w:p>
    <w:p w14:paraId="658458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 Provides ASI and IP outputs with UDP/RTP multicast/unicast capability.  </w:t>
      </w:r>
    </w:p>
    <w:p w14:paraId="537240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 Ensures stream stability through CBR and PCR adjustment.  </w:t>
      </w:r>
    </w:p>
    <w:p w14:paraId="215C2D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 Enables PSI/SI editing and PID remapping/passthrough, managed via LCD+keyboard or Web NMS/SNMP.  </w:t>
      </w:r>
    </w:p>
    <w:p w14:paraId="6FC389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w:t>
      </w:r>
    </w:p>
    <w:p w14:paraId="43D195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18"/>
          <w:szCs w:val="18"/>
          <w:shd w:val="clear" w:fill="FEFCFD"/>
        </w:rPr>
        <w:t>Principle Chart</w:t>
      </w:r>
    </w:p>
    <w:p w14:paraId="0CF759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10485"/>
            <wp:effectExtent l="0" t="0" r="3810" b="184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610485"/>
                    </a:xfrm>
                    <a:prstGeom prst="rect">
                      <a:avLst/>
                    </a:prstGeom>
                    <a:noFill/>
                    <a:ln w="9525">
                      <a:noFill/>
                    </a:ln>
                  </pic:spPr>
                </pic:pic>
              </a:graphicData>
            </a:graphic>
          </wp:inline>
        </w:drawing>
      </w:r>
    </w:p>
    <w:p w14:paraId="24BDC1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9B290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559"/>
        <w:gridCol w:w="1685"/>
        <w:gridCol w:w="1499"/>
        <w:gridCol w:w="5007"/>
      </w:tblGrid>
      <w:tr w14:paraId="1E1895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48892A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515" w:type="dxa"/>
            <w:gridSpan w:val="3"/>
            <w:shd w:val="clear" w:color="auto" w:fill="auto"/>
            <w:vAlign w:val="center"/>
          </w:tcPr>
          <w:p w14:paraId="6921A1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4xS-Video/YPbPr/CVBS (RCA)</w:t>
            </w:r>
          </w:p>
        </w:tc>
      </w:tr>
      <w:tr w14:paraId="00206E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3CE30AE3">
            <w:pPr>
              <w:jc w:val="left"/>
              <w:rPr>
                <w:rFonts w:hint="eastAsia" w:ascii="宋体"/>
                <w:sz w:val="24"/>
                <w:szCs w:val="24"/>
              </w:rPr>
            </w:pPr>
          </w:p>
        </w:tc>
        <w:tc>
          <w:tcPr>
            <w:tcW w:w="7515" w:type="dxa"/>
            <w:gridSpan w:val="3"/>
            <w:shd w:val="clear" w:color="auto" w:fill="auto"/>
            <w:vAlign w:val="center"/>
          </w:tcPr>
          <w:p w14:paraId="3E7992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1×ASI input</w:t>
            </w:r>
          </w:p>
        </w:tc>
      </w:tr>
      <w:tr w14:paraId="6B6D8F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7E83A7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Encoding</w:t>
            </w:r>
          </w:p>
        </w:tc>
        <w:tc>
          <w:tcPr>
            <w:tcW w:w="1845" w:type="dxa"/>
            <w:vMerge w:val="restart"/>
            <w:shd w:val="clear" w:color="auto" w:fill="auto"/>
            <w:vAlign w:val="center"/>
          </w:tcPr>
          <w:p w14:paraId="4A9B4E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w:t>
            </w:r>
          </w:p>
        </w:tc>
        <w:tc>
          <w:tcPr>
            <w:tcW w:w="1695" w:type="dxa"/>
            <w:shd w:val="clear" w:color="auto" w:fill="auto"/>
            <w:vAlign w:val="center"/>
          </w:tcPr>
          <w:p w14:paraId="7F5347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Format</w:t>
            </w:r>
          </w:p>
        </w:tc>
        <w:tc>
          <w:tcPr>
            <w:tcW w:w="3960" w:type="dxa"/>
            <w:shd w:val="clear" w:color="auto" w:fill="auto"/>
            <w:vAlign w:val="center"/>
          </w:tcPr>
          <w:p w14:paraId="32E2F8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MP@ML (4:2:0)</w:t>
            </w:r>
          </w:p>
        </w:tc>
      </w:tr>
      <w:tr w14:paraId="4E388D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D3F9899">
            <w:pPr>
              <w:jc w:val="left"/>
              <w:rPr>
                <w:rFonts w:hint="eastAsia" w:ascii="宋体"/>
                <w:sz w:val="24"/>
                <w:szCs w:val="24"/>
              </w:rPr>
            </w:pPr>
          </w:p>
        </w:tc>
        <w:tc>
          <w:tcPr>
            <w:tcW w:w="1845" w:type="dxa"/>
            <w:vMerge w:val="continue"/>
            <w:shd w:val="clear" w:color="auto" w:fill="auto"/>
            <w:vAlign w:val="center"/>
          </w:tcPr>
          <w:p w14:paraId="54CDFC52">
            <w:pPr>
              <w:jc w:val="left"/>
              <w:rPr>
                <w:rFonts w:hint="eastAsia" w:ascii="宋体"/>
                <w:sz w:val="24"/>
                <w:szCs w:val="24"/>
              </w:rPr>
            </w:pPr>
          </w:p>
        </w:tc>
        <w:tc>
          <w:tcPr>
            <w:tcW w:w="1695" w:type="dxa"/>
            <w:shd w:val="clear" w:color="auto" w:fill="auto"/>
            <w:vAlign w:val="center"/>
          </w:tcPr>
          <w:p w14:paraId="3A35BE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3960" w:type="dxa"/>
            <w:shd w:val="clear" w:color="auto" w:fill="auto"/>
            <w:vAlign w:val="center"/>
          </w:tcPr>
          <w:p w14:paraId="36C97D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S-Video/YPbPr/CVBS*4(RCA)</w:t>
            </w:r>
          </w:p>
        </w:tc>
      </w:tr>
      <w:tr w14:paraId="3C611A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2569F910">
            <w:pPr>
              <w:jc w:val="left"/>
              <w:rPr>
                <w:rFonts w:hint="eastAsia" w:ascii="宋体"/>
                <w:sz w:val="24"/>
                <w:szCs w:val="24"/>
              </w:rPr>
            </w:pPr>
          </w:p>
        </w:tc>
        <w:tc>
          <w:tcPr>
            <w:tcW w:w="1845" w:type="dxa"/>
            <w:vMerge w:val="continue"/>
            <w:shd w:val="clear" w:color="auto" w:fill="auto"/>
            <w:vAlign w:val="center"/>
          </w:tcPr>
          <w:p w14:paraId="439E687F">
            <w:pPr>
              <w:jc w:val="left"/>
              <w:rPr>
                <w:rFonts w:hint="eastAsia" w:ascii="宋体"/>
                <w:sz w:val="24"/>
                <w:szCs w:val="24"/>
              </w:rPr>
            </w:pPr>
          </w:p>
        </w:tc>
        <w:tc>
          <w:tcPr>
            <w:tcW w:w="1695" w:type="dxa"/>
            <w:shd w:val="clear" w:color="auto" w:fill="auto"/>
            <w:vAlign w:val="center"/>
          </w:tcPr>
          <w:p w14:paraId="45AC0C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3960" w:type="dxa"/>
            <w:shd w:val="clear" w:color="auto" w:fill="auto"/>
            <w:vAlign w:val="center"/>
          </w:tcPr>
          <w:p w14:paraId="41FE6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1-19.5Mbps</w:t>
            </w:r>
          </w:p>
        </w:tc>
      </w:tr>
      <w:tr w14:paraId="3B4EC6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2E2A5146">
            <w:pPr>
              <w:jc w:val="left"/>
              <w:rPr>
                <w:rFonts w:hint="eastAsia" w:ascii="宋体"/>
                <w:sz w:val="24"/>
                <w:szCs w:val="24"/>
              </w:rPr>
            </w:pPr>
          </w:p>
        </w:tc>
        <w:tc>
          <w:tcPr>
            <w:tcW w:w="1845" w:type="dxa"/>
            <w:vMerge w:val="continue"/>
            <w:shd w:val="clear" w:color="auto" w:fill="auto"/>
            <w:vAlign w:val="center"/>
          </w:tcPr>
          <w:p w14:paraId="27C38B57">
            <w:pPr>
              <w:jc w:val="left"/>
              <w:rPr>
                <w:rFonts w:hint="eastAsia" w:ascii="宋体"/>
                <w:sz w:val="24"/>
                <w:szCs w:val="24"/>
              </w:rPr>
            </w:pPr>
          </w:p>
        </w:tc>
        <w:tc>
          <w:tcPr>
            <w:tcW w:w="1695" w:type="dxa"/>
            <w:shd w:val="clear" w:color="auto" w:fill="auto"/>
            <w:vAlign w:val="center"/>
          </w:tcPr>
          <w:p w14:paraId="55E5C2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3960" w:type="dxa"/>
            <w:shd w:val="clear" w:color="auto" w:fill="auto"/>
            <w:vAlign w:val="center"/>
          </w:tcPr>
          <w:p w14:paraId="711C84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720*576_50i</w:t>
            </w:r>
          </w:p>
        </w:tc>
      </w:tr>
      <w:tr w14:paraId="30C013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55D5F62C">
            <w:pPr>
              <w:jc w:val="left"/>
              <w:rPr>
                <w:rFonts w:hint="eastAsia" w:ascii="宋体"/>
                <w:sz w:val="24"/>
                <w:szCs w:val="24"/>
              </w:rPr>
            </w:pPr>
          </w:p>
        </w:tc>
        <w:tc>
          <w:tcPr>
            <w:tcW w:w="1845" w:type="dxa"/>
            <w:vMerge w:val="continue"/>
            <w:shd w:val="clear" w:color="auto" w:fill="auto"/>
            <w:vAlign w:val="center"/>
          </w:tcPr>
          <w:p w14:paraId="75302FCE">
            <w:pPr>
              <w:jc w:val="left"/>
              <w:rPr>
                <w:rFonts w:hint="eastAsia" w:ascii="宋体"/>
                <w:sz w:val="24"/>
                <w:szCs w:val="24"/>
              </w:rPr>
            </w:pPr>
          </w:p>
        </w:tc>
        <w:tc>
          <w:tcPr>
            <w:tcW w:w="1695" w:type="dxa"/>
            <w:shd w:val="clear" w:color="auto" w:fill="auto"/>
            <w:vAlign w:val="center"/>
          </w:tcPr>
          <w:p w14:paraId="0E48AF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mode</w:t>
            </w:r>
          </w:p>
        </w:tc>
        <w:tc>
          <w:tcPr>
            <w:tcW w:w="3960" w:type="dxa"/>
            <w:shd w:val="clear" w:color="auto" w:fill="auto"/>
            <w:vAlign w:val="center"/>
          </w:tcPr>
          <w:p w14:paraId="758875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VBR/CBR</w:t>
            </w:r>
          </w:p>
        </w:tc>
      </w:tr>
      <w:tr w14:paraId="357516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58AD669F">
            <w:pPr>
              <w:jc w:val="left"/>
              <w:rPr>
                <w:rFonts w:hint="eastAsia" w:ascii="宋体"/>
                <w:sz w:val="24"/>
                <w:szCs w:val="24"/>
              </w:rPr>
            </w:pPr>
          </w:p>
        </w:tc>
        <w:tc>
          <w:tcPr>
            <w:tcW w:w="1845" w:type="dxa"/>
            <w:vMerge w:val="continue"/>
            <w:shd w:val="clear" w:color="auto" w:fill="auto"/>
            <w:vAlign w:val="center"/>
          </w:tcPr>
          <w:p w14:paraId="455C2D7C">
            <w:pPr>
              <w:jc w:val="left"/>
              <w:rPr>
                <w:rFonts w:hint="eastAsia" w:ascii="宋体"/>
                <w:sz w:val="24"/>
                <w:szCs w:val="24"/>
              </w:rPr>
            </w:pPr>
          </w:p>
        </w:tc>
        <w:tc>
          <w:tcPr>
            <w:tcW w:w="1695" w:type="dxa"/>
            <w:shd w:val="clear" w:color="auto" w:fill="auto"/>
            <w:vAlign w:val="center"/>
          </w:tcPr>
          <w:p w14:paraId="43DFA1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w:t>
            </w:r>
          </w:p>
        </w:tc>
        <w:tc>
          <w:tcPr>
            <w:tcW w:w="3960" w:type="dxa"/>
            <w:shd w:val="clear" w:color="auto" w:fill="auto"/>
            <w:vAlign w:val="center"/>
          </w:tcPr>
          <w:p w14:paraId="209C43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w:t>
            </w:r>
          </w:p>
        </w:tc>
      </w:tr>
      <w:tr w14:paraId="5F8BA3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2FD747F1">
            <w:pPr>
              <w:jc w:val="left"/>
              <w:rPr>
                <w:rFonts w:hint="eastAsia" w:ascii="宋体"/>
                <w:sz w:val="24"/>
                <w:szCs w:val="24"/>
              </w:rPr>
            </w:pPr>
          </w:p>
        </w:tc>
        <w:tc>
          <w:tcPr>
            <w:tcW w:w="1845" w:type="dxa"/>
            <w:vMerge w:val="continue"/>
            <w:shd w:val="clear" w:color="auto" w:fill="auto"/>
            <w:vAlign w:val="center"/>
          </w:tcPr>
          <w:p w14:paraId="214387B4">
            <w:pPr>
              <w:jc w:val="left"/>
              <w:rPr>
                <w:rFonts w:hint="eastAsia" w:ascii="宋体"/>
                <w:sz w:val="24"/>
                <w:szCs w:val="24"/>
              </w:rPr>
            </w:pPr>
          </w:p>
        </w:tc>
        <w:tc>
          <w:tcPr>
            <w:tcW w:w="1695" w:type="dxa"/>
            <w:shd w:val="clear" w:color="auto" w:fill="auto"/>
            <w:vAlign w:val="center"/>
          </w:tcPr>
          <w:p w14:paraId="687811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Aspect</w:t>
            </w:r>
          </w:p>
        </w:tc>
        <w:tc>
          <w:tcPr>
            <w:tcW w:w="3960" w:type="dxa"/>
            <w:shd w:val="clear" w:color="auto" w:fill="auto"/>
            <w:vAlign w:val="center"/>
          </w:tcPr>
          <w:p w14:paraId="26A841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16:9,4:3, 1:1, 2.21:1</w:t>
            </w:r>
          </w:p>
        </w:tc>
      </w:tr>
      <w:tr w14:paraId="39CDD1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405AE66">
            <w:pPr>
              <w:jc w:val="left"/>
              <w:rPr>
                <w:rFonts w:hint="eastAsia" w:ascii="宋体"/>
                <w:sz w:val="24"/>
                <w:szCs w:val="24"/>
              </w:rPr>
            </w:pPr>
          </w:p>
        </w:tc>
        <w:tc>
          <w:tcPr>
            <w:tcW w:w="1845" w:type="dxa"/>
            <w:vMerge w:val="restart"/>
            <w:shd w:val="clear" w:color="auto" w:fill="auto"/>
            <w:vAlign w:val="center"/>
          </w:tcPr>
          <w:p w14:paraId="088B85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w:t>
            </w:r>
          </w:p>
        </w:tc>
        <w:tc>
          <w:tcPr>
            <w:tcW w:w="1695" w:type="dxa"/>
            <w:shd w:val="clear" w:color="auto" w:fill="auto"/>
            <w:vAlign w:val="center"/>
          </w:tcPr>
          <w:p w14:paraId="10682B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Format</w:t>
            </w:r>
          </w:p>
        </w:tc>
        <w:tc>
          <w:tcPr>
            <w:tcW w:w="3960" w:type="dxa"/>
            <w:shd w:val="clear" w:color="auto" w:fill="auto"/>
            <w:vAlign w:val="center"/>
          </w:tcPr>
          <w:p w14:paraId="41D58F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w:t>
            </w:r>
          </w:p>
        </w:tc>
      </w:tr>
      <w:tr w14:paraId="121EE1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188B3E2B">
            <w:pPr>
              <w:jc w:val="left"/>
              <w:rPr>
                <w:rFonts w:hint="eastAsia" w:ascii="宋体"/>
                <w:sz w:val="24"/>
                <w:szCs w:val="24"/>
              </w:rPr>
            </w:pPr>
          </w:p>
        </w:tc>
        <w:tc>
          <w:tcPr>
            <w:tcW w:w="1845" w:type="dxa"/>
            <w:vMerge w:val="continue"/>
            <w:shd w:val="clear" w:color="auto" w:fill="auto"/>
            <w:vAlign w:val="center"/>
          </w:tcPr>
          <w:p w14:paraId="10368744">
            <w:pPr>
              <w:jc w:val="left"/>
              <w:rPr>
                <w:rFonts w:hint="eastAsia" w:ascii="宋体"/>
                <w:sz w:val="24"/>
                <w:szCs w:val="24"/>
              </w:rPr>
            </w:pPr>
          </w:p>
        </w:tc>
        <w:tc>
          <w:tcPr>
            <w:tcW w:w="1695" w:type="dxa"/>
            <w:shd w:val="clear" w:color="auto" w:fill="auto"/>
            <w:vAlign w:val="center"/>
          </w:tcPr>
          <w:p w14:paraId="073507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3960" w:type="dxa"/>
            <w:shd w:val="clear" w:color="auto" w:fill="auto"/>
            <w:vAlign w:val="center"/>
          </w:tcPr>
          <w:p w14:paraId="344AC8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4*Stereo or 8*mono (RCA)</w:t>
            </w:r>
          </w:p>
        </w:tc>
      </w:tr>
      <w:tr w14:paraId="325CB7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54407B01">
            <w:pPr>
              <w:jc w:val="left"/>
              <w:rPr>
                <w:rFonts w:hint="eastAsia" w:ascii="宋体"/>
                <w:sz w:val="24"/>
                <w:szCs w:val="24"/>
              </w:rPr>
            </w:pPr>
          </w:p>
        </w:tc>
        <w:tc>
          <w:tcPr>
            <w:tcW w:w="1845" w:type="dxa"/>
            <w:vMerge w:val="continue"/>
            <w:shd w:val="clear" w:color="auto" w:fill="auto"/>
            <w:vAlign w:val="center"/>
          </w:tcPr>
          <w:p w14:paraId="07B4556A">
            <w:pPr>
              <w:jc w:val="left"/>
              <w:rPr>
                <w:rFonts w:hint="eastAsia" w:ascii="宋体"/>
                <w:sz w:val="24"/>
                <w:szCs w:val="24"/>
              </w:rPr>
            </w:pPr>
          </w:p>
        </w:tc>
        <w:tc>
          <w:tcPr>
            <w:tcW w:w="1695" w:type="dxa"/>
            <w:shd w:val="clear" w:color="auto" w:fill="auto"/>
            <w:vAlign w:val="center"/>
          </w:tcPr>
          <w:p w14:paraId="227623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rate</w:t>
            </w:r>
          </w:p>
        </w:tc>
        <w:tc>
          <w:tcPr>
            <w:tcW w:w="3960" w:type="dxa"/>
            <w:shd w:val="clear" w:color="auto" w:fill="auto"/>
            <w:vAlign w:val="center"/>
          </w:tcPr>
          <w:p w14:paraId="3A32CC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3ED542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5597FD99">
            <w:pPr>
              <w:jc w:val="left"/>
              <w:rPr>
                <w:rFonts w:hint="eastAsia" w:ascii="宋体"/>
                <w:sz w:val="24"/>
                <w:szCs w:val="24"/>
              </w:rPr>
            </w:pPr>
          </w:p>
        </w:tc>
        <w:tc>
          <w:tcPr>
            <w:tcW w:w="1845" w:type="dxa"/>
            <w:vMerge w:val="continue"/>
            <w:shd w:val="clear" w:color="auto" w:fill="auto"/>
            <w:vAlign w:val="center"/>
          </w:tcPr>
          <w:p w14:paraId="09629730">
            <w:pPr>
              <w:jc w:val="left"/>
              <w:rPr>
                <w:rFonts w:hint="eastAsia" w:ascii="宋体"/>
                <w:sz w:val="24"/>
                <w:szCs w:val="24"/>
              </w:rPr>
            </w:pPr>
          </w:p>
        </w:tc>
        <w:tc>
          <w:tcPr>
            <w:tcW w:w="1695" w:type="dxa"/>
            <w:shd w:val="clear" w:color="auto" w:fill="auto"/>
            <w:vAlign w:val="center"/>
          </w:tcPr>
          <w:p w14:paraId="58B4BC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3960" w:type="dxa"/>
            <w:shd w:val="clear" w:color="auto" w:fill="auto"/>
            <w:vAlign w:val="center"/>
          </w:tcPr>
          <w:p w14:paraId="2337DE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64kbps,96kbps,128kbps,192kbps,256kbps,320kbps</w:t>
            </w:r>
          </w:p>
        </w:tc>
      </w:tr>
      <w:tr w14:paraId="6CB57C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190D68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515" w:type="dxa"/>
            <w:gridSpan w:val="3"/>
            <w:shd w:val="clear" w:color="auto" w:fill="auto"/>
            <w:vAlign w:val="center"/>
          </w:tcPr>
          <w:p w14:paraId="60BFA9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1*ASI</w:t>
            </w:r>
          </w:p>
        </w:tc>
      </w:tr>
      <w:tr w14:paraId="4970FD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5" w:hRule="atLeast"/>
          <w:tblCellSpacing w:w="0" w:type="dxa"/>
        </w:trPr>
        <w:tc>
          <w:tcPr>
            <w:tcW w:w="1845" w:type="dxa"/>
            <w:vMerge w:val="continue"/>
            <w:shd w:val="clear" w:color="auto" w:fill="auto"/>
            <w:vAlign w:val="center"/>
          </w:tcPr>
          <w:p w14:paraId="6BA7B989">
            <w:pPr>
              <w:jc w:val="left"/>
              <w:rPr>
                <w:rFonts w:hint="eastAsia" w:ascii="宋体"/>
                <w:sz w:val="24"/>
                <w:szCs w:val="24"/>
              </w:rPr>
            </w:pPr>
          </w:p>
        </w:tc>
        <w:tc>
          <w:tcPr>
            <w:tcW w:w="7515" w:type="dxa"/>
            <w:gridSpan w:val="3"/>
            <w:shd w:val="clear" w:color="auto" w:fill="auto"/>
            <w:vAlign w:val="center"/>
          </w:tcPr>
          <w:p w14:paraId="72C7A6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IP over UDP/RTP, 10/100Base-T Ethernet interface (unicast / multicast)</w:t>
            </w:r>
          </w:p>
        </w:tc>
      </w:tr>
      <w:tr w14:paraId="614DB7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restart"/>
            <w:shd w:val="clear" w:color="auto" w:fill="auto"/>
            <w:vAlign w:val="center"/>
          </w:tcPr>
          <w:p w14:paraId="3C800F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1845" w:type="dxa"/>
            <w:shd w:val="clear" w:color="auto" w:fill="auto"/>
            <w:vAlign w:val="center"/>
          </w:tcPr>
          <w:p w14:paraId="151E1A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 interface</w:t>
            </w:r>
          </w:p>
        </w:tc>
        <w:tc>
          <w:tcPr>
            <w:tcW w:w="5670" w:type="dxa"/>
            <w:gridSpan w:val="2"/>
            <w:shd w:val="clear" w:color="auto" w:fill="auto"/>
            <w:vAlign w:val="center"/>
          </w:tcPr>
          <w:p w14:paraId="19769D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 + control buttons</w:t>
            </w:r>
          </w:p>
        </w:tc>
      </w:tr>
      <w:tr w14:paraId="66363B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continue"/>
            <w:shd w:val="clear" w:color="auto" w:fill="auto"/>
            <w:vAlign w:val="center"/>
          </w:tcPr>
          <w:p w14:paraId="29C3EF78">
            <w:pPr>
              <w:jc w:val="left"/>
              <w:rPr>
                <w:rFonts w:hint="eastAsia" w:ascii="宋体"/>
                <w:sz w:val="24"/>
                <w:szCs w:val="24"/>
              </w:rPr>
            </w:pPr>
          </w:p>
        </w:tc>
        <w:tc>
          <w:tcPr>
            <w:tcW w:w="1845" w:type="dxa"/>
            <w:shd w:val="clear" w:color="auto" w:fill="auto"/>
            <w:vAlign w:val="center"/>
          </w:tcPr>
          <w:p w14:paraId="50D859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Remote management</w:t>
            </w:r>
          </w:p>
        </w:tc>
        <w:tc>
          <w:tcPr>
            <w:tcW w:w="5670" w:type="dxa"/>
            <w:gridSpan w:val="2"/>
            <w:shd w:val="clear" w:color="auto" w:fill="auto"/>
            <w:vAlign w:val="center"/>
          </w:tcPr>
          <w:p w14:paraId="5F875C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NMS Management</w:t>
            </w:r>
          </w:p>
        </w:tc>
      </w:tr>
      <w:tr w14:paraId="0058BC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continue"/>
            <w:shd w:val="clear" w:color="auto" w:fill="auto"/>
            <w:vAlign w:val="center"/>
          </w:tcPr>
          <w:p w14:paraId="799112D5">
            <w:pPr>
              <w:jc w:val="left"/>
              <w:rPr>
                <w:rFonts w:hint="eastAsia" w:ascii="宋体"/>
                <w:sz w:val="24"/>
                <w:szCs w:val="24"/>
              </w:rPr>
            </w:pPr>
          </w:p>
        </w:tc>
        <w:tc>
          <w:tcPr>
            <w:tcW w:w="1845" w:type="dxa"/>
            <w:shd w:val="clear" w:color="auto" w:fill="auto"/>
            <w:vAlign w:val="center"/>
          </w:tcPr>
          <w:p w14:paraId="566824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w:t>
            </w:r>
          </w:p>
        </w:tc>
        <w:tc>
          <w:tcPr>
            <w:tcW w:w="5670" w:type="dxa"/>
            <w:gridSpan w:val="2"/>
            <w:shd w:val="clear" w:color="auto" w:fill="auto"/>
            <w:vAlign w:val="center"/>
          </w:tcPr>
          <w:p w14:paraId="07ECF3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w:t>
            </w:r>
          </w:p>
        </w:tc>
      </w:tr>
      <w:tr w14:paraId="1F7DA7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restart"/>
            <w:shd w:val="clear" w:color="auto" w:fill="auto"/>
            <w:vAlign w:val="center"/>
          </w:tcPr>
          <w:p w14:paraId="74F2DA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1845" w:type="dxa"/>
            <w:shd w:val="clear" w:color="auto" w:fill="auto"/>
            <w:vAlign w:val="center"/>
          </w:tcPr>
          <w:p w14:paraId="4C5219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t>
            </w:r>
          </w:p>
          <w:p w14:paraId="598BDE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(W*D*H)</w:t>
            </w:r>
          </w:p>
        </w:tc>
        <w:tc>
          <w:tcPr>
            <w:tcW w:w="5670" w:type="dxa"/>
            <w:gridSpan w:val="2"/>
            <w:shd w:val="clear" w:color="auto" w:fill="auto"/>
            <w:vAlign w:val="center"/>
          </w:tcPr>
          <w:p w14:paraId="02EAAA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482mm×300mm×44.5mm</w:t>
            </w:r>
          </w:p>
        </w:tc>
      </w:tr>
      <w:tr w14:paraId="1026D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continue"/>
            <w:shd w:val="clear" w:color="auto" w:fill="auto"/>
            <w:vAlign w:val="center"/>
          </w:tcPr>
          <w:p w14:paraId="6108E374">
            <w:pPr>
              <w:jc w:val="left"/>
              <w:rPr>
                <w:rFonts w:hint="eastAsia" w:ascii="宋体"/>
                <w:sz w:val="24"/>
                <w:szCs w:val="24"/>
              </w:rPr>
            </w:pPr>
          </w:p>
        </w:tc>
        <w:tc>
          <w:tcPr>
            <w:tcW w:w="1845" w:type="dxa"/>
            <w:shd w:val="clear" w:color="auto" w:fill="auto"/>
            <w:vAlign w:val="center"/>
          </w:tcPr>
          <w:p w14:paraId="3322B3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5670" w:type="dxa"/>
            <w:gridSpan w:val="2"/>
            <w:shd w:val="clear" w:color="auto" w:fill="auto"/>
            <w:vAlign w:val="center"/>
          </w:tcPr>
          <w:p w14:paraId="5AD9FB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3.5kg</w:t>
            </w:r>
          </w:p>
        </w:tc>
      </w:tr>
      <w:tr w14:paraId="752958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continue"/>
            <w:shd w:val="clear" w:color="auto" w:fill="auto"/>
            <w:vAlign w:val="center"/>
          </w:tcPr>
          <w:p w14:paraId="267F2793">
            <w:pPr>
              <w:jc w:val="left"/>
              <w:rPr>
                <w:rFonts w:hint="eastAsia" w:ascii="宋体"/>
                <w:sz w:val="24"/>
                <w:szCs w:val="24"/>
              </w:rPr>
            </w:pPr>
          </w:p>
        </w:tc>
        <w:tc>
          <w:tcPr>
            <w:tcW w:w="1845" w:type="dxa"/>
            <w:shd w:val="clear" w:color="auto" w:fill="auto"/>
            <w:vAlign w:val="center"/>
          </w:tcPr>
          <w:p w14:paraId="524ECD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5670" w:type="dxa"/>
            <w:gridSpan w:val="2"/>
            <w:shd w:val="clear" w:color="auto" w:fill="auto"/>
            <w:vAlign w:val="center"/>
          </w:tcPr>
          <w:p w14:paraId="642D7E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 -20~80℃(Storage)</w:t>
            </w:r>
          </w:p>
        </w:tc>
      </w:tr>
      <w:tr w14:paraId="26EE9F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continue"/>
            <w:shd w:val="clear" w:color="auto" w:fill="auto"/>
            <w:vAlign w:val="center"/>
          </w:tcPr>
          <w:p w14:paraId="147E21EC">
            <w:pPr>
              <w:jc w:val="left"/>
              <w:rPr>
                <w:rFonts w:hint="eastAsia" w:ascii="宋体"/>
                <w:sz w:val="24"/>
                <w:szCs w:val="24"/>
              </w:rPr>
            </w:pPr>
          </w:p>
        </w:tc>
        <w:tc>
          <w:tcPr>
            <w:tcW w:w="1845" w:type="dxa"/>
            <w:shd w:val="clear" w:color="auto" w:fill="auto"/>
            <w:vAlign w:val="center"/>
          </w:tcPr>
          <w:p w14:paraId="1614E5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w:t>
            </w:r>
          </w:p>
        </w:tc>
        <w:tc>
          <w:tcPr>
            <w:tcW w:w="5670" w:type="dxa"/>
            <w:gridSpan w:val="2"/>
            <w:shd w:val="clear" w:color="auto" w:fill="auto"/>
            <w:vAlign w:val="center"/>
          </w:tcPr>
          <w:p w14:paraId="3C091B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100V~240V</w:t>
            </w:r>
          </w:p>
        </w:tc>
      </w:tr>
      <w:tr w14:paraId="36605E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vMerge w:val="continue"/>
            <w:shd w:val="clear" w:color="auto" w:fill="auto"/>
            <w:vAlign w:val="center"/>
          </w:tcPr>
          <w:p w14:paraId="6E1A0CA9">
            <w:pPr>
              <w:jc w:val="left"/>
              <w:rPr>
                <w:rFonts w:hint="eastAsia" w:ascii="宋体"/>
                <w:sz w:val="24"/>
                <w:szCs w:val="24"/>
              </w:rPr>
            </w:pPr>
          </w:p>
        </w:tc>
        <w:tc>
          <w:tcPr>
            <w:tcW w:w="1845" w:type="dxa"/>
            <w:shd w:val="clear" w:color="auto" w:fill="auto"/>
            <w:vAlign w:val="center"/>
          </w:tcPr>
          <w:p w14:paraId="21D43A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5670" w:type="dxa"/>
            <w:gridSpan w:val="2"/>
            <w:shd w:val="clear" w:color="auto" w:fill="auto"/>
            <w:vAlign w:val="center"/>
          </w:tcPr>
          <w:p w14:paraId="54D313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25W</w:t>
            </w:r>
          </w:p>
        </w:tc>
      </w:tr>
    </w:tbl>
    <w:p w14:paraId="57D3AE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18"/>
          <w:szCs w:val="18"/>
          <w:shd w:val="clear" w:fill="FEFCFD"/>
        </w:rPr>
        <w:t>           </w:t>
      </w:r>
    </w:p>
    <w:p w14:paraId="4450A1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6B6417E4">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32077376">
      <w:pPr>
        <w:rPr>
          <w:rFonts w:hint="default" w:ascii="Verdana" w:hAnsi="Verdana" w:cs="Verdana"/>
          <w:b w:val="0"/>
          <w:i w:val="0"/>
          <w:strike w:val="0"/>
          <w:color w:val="000000"/>
          <w:sz w:val="28"/>
          <w:lang w:val="en-US" w:eastAsia="zh-CN"/>
        </w:rPr>
      </w:pPr>
    </w:p>
    <w:p w14:paraId="031F05D9">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031B2B88">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81B4392">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4A696B83">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0A4DD0"/>
    <w:rsid w:val="0FC87CEA"/>
    <w:rsid w:val="101C4557"/>
    <w:rsid w:val="108E5D91"/>
    <w:rsid w:val="1382679B"/>
    <w:rsid w:val="15C25510"/>
    <w:rsid w:val="16AE3C4F"/>
    <w:rsid w:val="173C4724"/>
    <w:rsid w:val="18AE427D"/>
    <w:rsid w:val="18E81EA3"/>
    <w:rsid w:val="1B974A15"/>
    <w:rsid w:val="1C463E26"/>
    <w:rsid w:val="1CDC4CA0"/>
    <w:rsid w:val="1FCC39C5"/>
    <w:rsid w:val="20F61905"/>
    <w:rsid w:val="2199682E"/>
    <w:rsid w:val="239E3C7B"/>
    <w:rsid w:val="26D8339F"/>
    <w:rsid w:val="27B55639"/>
    <w:rsid w:val="2A752F8B"/>
    <w:rsid w:val="2C665CEA"/>
    <w:rsid w:val="2E0F6BE8"/>
    <w:rsid w:val="314F3E41"/>
    <w:rsid w:val="3B533162"/>
    <w:rsid w:val="3CDE76CF"/>
    <w:rsid w:val="41B9767B"/>
    <w:rsid w:val="45872050"/>
    <w:rsid w:val="45B03FFD"/>
    <w:rsid w:val="47855FC9"/>
    <w:rsid w:val="478E224E"/>
    <w:rsid w:val="485E04E5"/>
    <w:rsid w:val="487316FE"/>
    <w:rsid w:val="49B75FAC"/>
    <w:rsid w:val="4E4A4BF6"/>
    <w:rsid w:val="4F0A5F9F"/>
    <w:rsid w:val="4F8D25ED"/>
    <w:rsid w:val="51AD130D"/>
    <w:rsid w:val="540A3FAB"/>
    <w:rsid w:val="562E484B"/>
    <w:rsid w:val="56834992"/>
    <w:rsid w:val="5930748A"/>
    <w:rsid w:val="59933671"/>
    <w:rsid w:val="5AA83521"/>
    <w:rsid w:val="5ADC4CE3"/>
    <w:rsid w:val="5EEA5249"/>
    <w:rsid w:val="609213A6"/>
    <w:rsid w:val="61BA6334"/>
    <w:rsid w:val="63C27F07"/>
    <w:rsid w:val="68AD6386"/>
    <w:rsid w:val="6D7A6503"/>
    <w:rsid w:val="6DEA0A08"/>
    <w:rsid w:val="70757613"/>
    <w:rsid w:val="70B756B4"/>
    <w:rsid w:val="73270F88"/>
    <w:rsid w:val="74455F31"/>
    <w:rsid w:val="7540100C"/>
    <w:rsid w:val="77935A18"/>
    <w:rsid w:val="7B8E7427"/>
    <w:rsid w:val="7C107D7A"/>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NDS3204D/3EEECN_2016050302535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277</Words>
  <Characters>1809</Characters>
  <Lines>4</Lines>
  <Paragraphs>1</Paragraphs>
  <TotalTime>27</TotalTime>
  <ScaleCrop>false</ScaleCrop>
  <LinksUpToDate>false</LinksUpToDate>
  <CharactersWithSpaces>2063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2026-08-11T07:13:05Z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