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77A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1" w:name="_GoBack"/>
      <w:bookmarkEnd w:id="1"/>
      <w:r>
        <w:rPr>
          <w:rFonts w:hint="eastAsia" w:ascii="Verdana" w:hAnsi="Verdana" w:cs="Verdana"/>
          <w:b/>
          <w:i w:val="0"/>
          <w:strike w:val="0"/>
          <w:color w:val="000000"/>
          <w:sz w:val="28"/>
          <w:lang w:val="en-US" w:eastAsia="zh-CN"/>
        </w:rPr>
        <w:t>FMUSER FUQ-4322C HD Encoder 4-Input HDMI-SDI-YPbPr-CVBS 4-Output ASI-IP MPEG-2 H.264 Encoding OSD Insertion Broadcast Applications</w:t>
      </w:r>
    </w:p>
    <w:p w14:paraId="5E9C65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b w:val="0"/>
          <w:i w:val="0"/>
          <w:strike w:val="0"/>
          <w:color w:val="000000"/>
          <w:sz w:val="28"/>
          <w:lang w:val="en-US" w:eastAsia="zh-CN"/>
        </w:rPr>
        <w:drawing>
          <wp:inline distT="0" distB="0" distL="114300" distR="114300">
            <wp:extent cx="6172200" cy="3390900"/>
            <wp:effectExtent l="0" t="0" r="0" b="0"/>
            <wp:docPr id="1" name="图片 1" descr="3EEECN_20230317132141"/>
            <wp:cNvGraphicFramePr/>
            <a:graphic xmlns:a="http://schemas.openxmlformats.org/drawingml/2006/main">
              <a:graphicData uri="http://schemas.openxmlformats.org/drawingml/2006/picture">
                <pic:pic xmlns:pic="http://schemas.openxmlformats.org/drawingml/2006/picture">
                  <pic:nvPicPr>
                    <pic:cNvPr id="1" name="图片 1" descr="3EEECN_20230317132141"/>
                    <pic:cNvPicPr/>
                  </pic:nvPicPr>
                  <pic:blipFill>
                    <a:blip r:embed="rId6"/>
                    <a:stretch>
                      <a:fillRect/>
                    </a:stretch>
                  </pic:blipFill>
                  <pic:spPr>
                    <a:xfrm>
                      <a:off x="0" y="0"/>
                      <a:ext cx="6172200" cy="3390900"/>
                    </a:xfrm>
                    <a:prstGeom prst="rect">
                      <a:avLst/>
                    </a:prstGeom>
                  </pic:spPr>
                </pic:pic>
              </a:graphicData>
            </a:graphic>
          </wp:inline>
        </w:drawing>
      </w:r>
      <w:r>
        <w:rPr>
          <w:rFonts w:hint="default" w:ascii="Verdana" w:hAnsi="Verdana" w:cs="Verdana"/>
          <w:i w:val="0"/>
          <w:iCs w:val="0"/>
          <w:caps w:val="0"/>
          <w:color w:val="333333"/>
          <w:spacing w:val="0"/>
          <w:sz w:val="18"/>
          <w:szCs w:val="18"/>
          <w:u w:val="none"/>
          <w:shd w:val="clear" w:fill="FEFCFD"/>
        </w:rPr>
        <w:drawing>
          <wp:inline distT="0" distB="0" distL="114300" distR="114300">
            <wp:extent cx="6322695" cy="2868930"/>
            <wp:effectExtent l="0" t="0" r="1905" b="762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322695" cy="2868930"/>
                    </a:xfrm>
                    <a:prstGeom prst="rect">
                      <a:avLst/>
                    </a:prstGeom>
                    <a:noFill/>
                    <a:ln w="9525">
                      <a:noFill/>
                    </a:ln>
                  </pic:spPr>
                </pic:pic>
              </a:graphicData>
            </a:graphic>
          </wp:inline>
        </w:drawing>
      </w:r>
    </w:p>
    <w:p w14:paraId="55DF68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w:t>
      </w:r>
    </w:p>
    <w:p w14:paraId="2CC265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p>
    <w:p w14:paraId="29B690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p>
    <w:p w14:paraId="0375A9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21"/>
          <w:szCs w:val="21"/>
          <w:shd w:val="clear" w:fill="FEFCFD"/>
          <w:lang w:eastAsia="zh-CN"/>
        </w:rPr>
        <w:t>Product overview</w:t>
      </w:r>
    </w:p>
    <w:p w14:paraId="058111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The FUQ-4322C HD encoder supports MPEG-2 and H.264 encoding, with inputs including HDMI, SDI, YPbPr, CVBS for video and AES, BNC, XLR for audio, and outputs TS streams via ASI or IP. It processes signals by encoding them with OSD insertion for QR codes, logos, and captions. The device features LCD/keyboard and web management interfaces for control. Ideal for broadcast applications such as television broadcasting and network integration. </w:t>
      </w:r>
    </w:p>
    <w:p w14:paraId="3749DC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Style w:val="10"/>
          <w:rFonts w:hint="eastAsia" w:ascii="Verdana" w:hAnsi="Verdana" w:cs="Verdana"/>
          <w:i w:val="0"/>
          <w:iCs w:val="0"/>
          <w:caps w:val="0"/>
          <w:color w:val="333333"/>
          <w:spacing w:val="0"/>
          <w:sz w:val="21"/>
          <w:szCs w:val="21"/>
          <w:shd w:val="clear" w:fill="FEFCFD"/>
          <w:lang w:eastAsia="zh-CN"/>
        </w:rPr>
        <w:t>Key feature</w:t>
      </w:r>
    </w:p>
    <w:p w14:paraId="15C249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Supports MPEG-2 and H.264 video encoding for resolutions like 1080i/p and 720p.  </w:t>
      </w:r>
    </w:p>
    <w:p w14:paraId="519262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Encodes audio in MPEG-1 Layer II, HE-AAC, LC-AAC, and DD AC3 formats with passthrough.  </w:t>
      </w:r>
    </w:p>
    <w:p w14:paraId="7BBA13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Enables OSD insertion of QR codes, logos, and captions during encoding.  </w:t>
      </w:r>
    </w:p>
    <w:p w14:paraId="07E25C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 xml:space="preserve">Delivers streams via ASI output and IP over UDP/RTP for MPTS distribution.  </w:t>
      </w:r>
    </w:p>
    <w:p w14:paraId="26294E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default" w:ascii="Verdana" w:hAnsi="Verdana" w:cs="Verdana"/>
          <w:i w:val="0"/>
          <w:iCs w:val="0"/>
          <w:caps w:val="0"/>
          <w:color w:val="333333"/>
          <w:spacing w:val="0"/>
          <w:sz w:val="18"/>
          <w:szCs w:val="18"/>
          <w:shd w:val="clear" w:fill="FEFCFD"/>
          <w:lang w:eastAsia="zh-CN"/>
        </w:rPr>
        <w:t>Features LCD/keyboard and web management interfaces for configuration.   </w:t>
      </w:r>
    </w:p>
    <w:p w14:paraId="21E095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Inner Principle Chart</w:t>
      </w:r>
    </w:p>
    <w:p w14:paraId="79C865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8075" cy="2227580"/>
            <wp:effectExtent l="0" t="0" r="3175" b="127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8075" cy="2227580"/>
                    </a:xfrm>
                    <a:prstGeom prst="rect">
                      <a:avLst/>
                    </a:prstGeom>
                    <a:noFill/>
                    <a:ln w="9525">
                      <a:noFill/>
                    </a:ln>
                  </pic:spPr>
                </pic:pic>
              </a:graphicData>
            </a:graphic>
          </wp:inline>
        </w:drawing>
      </w:r>
    </w:p>
    <w:p w14:paraId="6C9598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03FB10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33"/>
        <w:gridCol w:w="1243"/>
        <w:gridCol w:w="3187"/>
        <w:gridCol w:w="2530"/>
        <w:gridCol w:w="2157"/>
      </w:tblGrid>
      <w:tr w14:paraId="004009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0121B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0" w:name="OLE_LINK1"/>
            <w:r>
              <w:t>Video</w:t>
            </w:r>
            <w:bookmarkEnd w:id="0"/>
          </w:p>
        </w:tc>
        <w:tc>
          <w:tcPr>
            <w:tcW w:w="0" w:type="auto"/>
            <w:shd w:val="clear" w:color="auto" w:fill="auto"/>
            <w:vAlign w:val="center"/>
          </w:tcPr>
          <w:p w14:paraId="19F37C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0" w:type="auto"/>
            <w:gridSpan w:val="3"/>
            <w:shd w:val="clear" w:color="auto" w:fill="auto"/>
            <w:vAlign w:val="center"/>
          </w:tcPr>
          <w:p w14:paraId="367518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1×HDMI, 1×HD-SDI, 1×YPbPr and 1×CVBS (only for CC)</w:t>
            </w:r>
          </w:p>
        </w:tc>
      </w:tr>
      <w:tr w14:paraId="0779D5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2B282E1">
            <w:pPr>
              <w:jc w:val="left"/>
              <w:rPr>
                <w:rFonts w:hint="eastAsia" w:ascii="宋体"/>
                <w:sz w:val="24"/>
                <w:szCs w:val="24"/>
              </w:rPr>
            </w:pPr>
          </w:p>
        </w:tc>
        <w:tc>
          <w:tcPr>
            <w:tcW w:w="0" w:type="auto"/>
            <w:vMerge w:val="restart"/>
            <w:shd w:val="clear" w:color="auto" w:fill="auto"/>
            <w:vAlign w:val="center"/>
          </w:tcPr>
          <w:p w14:paraId="278286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0" w:type="auto"/>
            <w:shd w:val="clear" w:color="auto" w:fill="auto"/>
            <w:vAlign w:val="center"/>
          </w:tcPr>
          <w:p w14:paraId="0B8E0A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shd w:val="clear" w:color="auto" w:fill="auto"/>
            <w:vAlign w:val="center"/>
          </w:tcPr>
          <w:p w14:paraId="0D50A9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0" w:type="auto"/>
            <w:shd w:val="clear" w:color="auto" w:fill="auto"/>
            <w:vAlign w:val="center"/>
          </w:tcPr>
          <w:p w14:paraId="02505D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 Applicable</w:t>
            </w:r>
          </w:p>
        </w:tc>
      </w:tr>
      <w:tr w14:paraId="33AB40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DBB01B">
            <w:pPr>
              <w:jc w:val="left"/>
              <w:rPr>
                <w:rFonts w:hint="eastAsia" w:ascii="宋体"/>
                <w:sz w:val="24"/>
                <w:szCs w:val="24"/>
              </w:rPr>
            </w:pPr>
          </w:p>
        </w:tc>
        <w:tc>
          <w:tcPr>
            <w:tcW w:w="0" w:type="auto"/>
            <w:vMerge w:val="continue"/>
            <w:shd w:val="clear" w:color="auto" w:fill="auto"/>
            <w:vAlign w:val="center"/>
          </w:tcPr>
          <w:p w14:paraId="32606D01">
            <w:pPr>
              <w:jc w:val="left"/>
              <w:rPr>
                <w:rFonts w:hint="eastAsia" w:ascii="宋体"/>
                <w:sz w:val="24"/>
                <w:szCs w:val="24"/>
              </w:rPr>
            </w:pPr>
          </w:p>
        </w:tc>
        <w:tc>
          <w:tcPr>
            <w:tcW w:w="0" w:type="auto"/>
            <w:shd w:val="clear" w:color="auto" w:fill="auto"/>
            <w:vAlign w:val="center"/>
          </w:tcPr>
          <w:p w14:paraId="0407C1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1920×1080p@60/59.94</w:t>
            </w:r>
          </w:p>
        </w:tc>
        <w:tc>
          <w:tcPr>
            <w:tcW w:w="0" w:type="auto"/>
            <w:shd w:val="clear" w:color="auto" w:fill="auto"/>
            <w:vAlign w:val="center"/>
          </w:tcPr>
          <w:p w14:paraId="7E9824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w:t>
            </w:r>
          </w:p>
        </w:tc>
        <w:tc>
          <w:tcPr>
            <w:tcW w:w="0" w:type="auto"/>
            <w:vMerge w:val="restart"/>
            <w:shd w:val="clear" w:color="auto" w:fill="auto"/>
            <w:vAlign w:val="center"/>
          </w:tcPr>
          <w:p w14:paraId="2A362E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SDI, HDMI</w:t>
            </w:r>
          </w:p>
        </w:tc>
      </w:tr>
      <w:tr w14:paraId="0DA810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72E3BA">
            <w:pPr>
              <w:jc w:val="left"/>
              <w:rPr>
                <w:rFonts w:hint="eastAsia" w:ascii="宋体"/>
                <w:sz w:val="24"/>
                <w:szCs w:val="24"/>
              </w:rPr>
            </w:pPr>
          </w:p>
        </w:tc>
        <w:tc>
          <w:tcPr>
            <w:tcW w:w="0" w:type="auto"/>
            <w:vMerge w:val="continue"/>
            <w:shd w:val="clear" w:color="auto" w:fill="auto"/>
            <w:vAlign w:val="center"/>
          </w:tcPr>
          <w:p w14:paraId="5D03D0A7">
            <w:pPr>
              <w:jc w:val="left"/>
              <w:rPr>
                <w:rFonts w:hint="eastAsia" w:ascii="宋体"/>
                <w:sz w:val="24"/>
                <w:szCs w:val="24"/>
              </w:rPr>
            </w:pPr>
          </w:p>
        </w:tc>
        <w:tc>
          <w:tcPr>
            <w:tcW w:w="0" w:type="auto"/>
            <w:shd w:val="clear" w:color="auto" w:fill="auto"/>
            <w:vAlign w:val="center"/>
          </w:tcPr>
          <w:p w14:paraId="5A4A37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w:t>
            </w:r>
          </w:p>
        </w:tc>
        <w:tc>
          <w:tcPr>
            <w:tcW w:w="0" w:type="auto"/>
            <w:shd w:val="clear" w:color="auto" w:fill="auto"/>
            <w:vAlign w:val="center"/>
          </w:tcPr>
          <w:p w14:paraId="054C08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w:t>
            </w:r>
          </w:p>
        </w:tc>
        <w:tc>
          <w:tcPr>
            <w:tcW w:w="0" w:type="auto"/>
            <w:vMerge w:val="continue"/>
            <w:shd w:val="clear" w:color="auto" w:fill="auto"/>
            <w:vAlign w:val="center"/>
          </w:tcPr>
          <w:p w14:paraId="34BDEAA1">
            <w:pPr>
              <w:jc w:val="left"/>
              <w:rPr>
                <w:rFonts w:hint="eastAsia" w:ascii="宋体"/>
                <w:sz w:val="24"/>
                <w:szCs w:val="24"/>
              </w:rPr>
            </w:pPr>
          </w:p>
        </w:tc>
      </w:tr>
      <w:tr w14:paraId="322E5C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2281B62">
            <w:pPr>
              <w:jc w:val="left"/>
              <w:rPr>
                <w:rFonts w:hint="eastAsia" w:ascii="宋体"/>
                <w:sz w:val="24"/>
                <w:szCs w:val="24"/>
              </w:rPr>
            </w:pPr>
          </w:p>
        </w:tc>
        <w:tc>
          <w:tcPr>
            <w:tcW w:w="0" w:type="auto"/>
            <w:vMerge w:val="continue"/>
            <w:shd w:val="clear" w:color="auto" w:fill="auto"/>
            <w:vAlign w:val="center"/>
          </w:tcPr>
          <w:p w14:paraId="5FE3600D">
            <w:pPr>
              <w:jc w:val="left"/>
              <w:rPr>
                <w:rFonts w:hint="eastAsia" w:ascii="宋体"/>
                <w:sz w:val="24"/>
                <w:szCs w:val="24"/>
              </w:rPr>
            </w:pPr>
          </w:p>
        </w:tc>
        <w:tc>
          <w:tcPr>
            <w:tcW w:w="0" w:type="auto"/>
            <w:shd w:val="clear" w:color="auto" w:fill="auto"/>
            <w:vAlign w:val="center"/>
          </w:tcPr>
          <w:p w14:paraId="1C9FE7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1920×1080i@60/59.94</w:t>
            </w:r>
          </w:p>
        </w:tc>
        <w:tc>
          <w:tcPr>
            <w:tcW w:w="0" w:type="auto"/>
            <w:shd w:val="clear" w:color="auto" w:fill="auto"/>
            <w:vAlign w:val="center"/>
          </w:tcPr>
          <w:p w14:paraId="692771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 @60</w:t>
            </w:r>
          </w:p>
        </w:tc>
        <w:tc>
          <w:tcPr>
            <w:tcW w:w="0" w:type="auto"/>
            <w:vMerge w:val="restart"/>
            <w:shd w:val="clear" w:color="auto" w:fill="auto"/>
            <w:vAlign w:val="center"/>
          </w:tcPr>
          <w:p w14:paraId="17D30D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SDI, HDMI, YpbPr</w:t>
            </w:r>
          </w:p>
        </w:tc>
      </w:tr>
      <w:tr w14:paraId="6EF5E2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F58B02">
            <w:pPr>
              <w:jc w:val="left"/>
              <w:rPr>
                <w:rFonts w:hint="eastAsia" w:ascii="宋体"/>
                <w:sz w:val="24"/>
                <w:szCs w:val="24"/>
              </w:rPr>
            </w:pPr>
          </w:p>
        </w:tc>
        <w:tc>
          <w:tcPr>
            <w:tcW w:w="0" w:type="auto"/>
            <w:vMerge w:val="continue"/>
            <w:shd w:val="clear" w:color="auto" w:fill="auto"/>
            <w:vAlign w:val="center"/>
          </w:tcPr>
          <w:p w14:paraId="56903931">
            <w:pPr>
              <w:jc w:val="left"/>
              <w:rPr>
                <w:rFonts w:hint="eastAsia" w:ascii="宋体"/>
                <w:sz w:val="24"/>
                <w:szCs w:val="24"/>
              </w:rPr>
            </w:pPr>
          </w:p>
        </w:tc>
        <w:tc>
          <w:tcPr>
            <w:tcW w:w="0" w:type="auto"/>
            <w:shd w:val="clear" w:color="auto" w:fill="auto"/>
            <w:vAlign w:val="center"/>
          </w:tcPr>
          <w:p w14:paraId="72C293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 @50</w:t>
            </w:r>
          </w:p>
        </w:tc>
        <w:tc>
          <w:tcPr>
            <w:tcW w:w="0" w:type="auto"/>
            <w:shd w:val="clear" w:color="auto" w:fill="auto"/>
            <w:vAlign w:val="center"/>
          </w:tcPr>
          <w:p w14:paraId="709850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 @50</w:t>
            </w:r>
          </w:p>
        </w:tc>
        <w:tc>
          <w:tcPr>
            <w:tcW w:w="0" w:type="auto"/>
            <w:vMerge w:val="continue"/>
            <w:shd w:val="clear" w:color="auto" w:fill="auto"/>
            <w:vAlign w:val="center"/>
          </w:tcPr>
          <w:p w14:paraId="36DA34F6">
            <w:pPr>
              <w:jc w:val="left"/>
              <w:rPr>
                <w:rFonts w:hint="eastAsia" w:ascii="宋体"/>
                <w:sz w:val="24"/>
                <w:szCs w:val="24"/>
              </w:rPr>
            </w:pPr>
          </w:p>
        </w:tc>
      </w:tr>
      <w:tr w14:paraId="022066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250FC5">
            <w:pPr>
              <w:jc w:val="left"/>
              <w:rPr>
                <w:rFonts w:hint="eastAsia" w:ascii="宋体"/>
                <w:sz w:val="24"/>
                <w:szCs w:val="24"/>
              </w:rPr>
            </w:pPr>
          </w:p>
        </w:tc>
        <w:tc>
          <w:tcPr>
            <w:tcW w:w="0" w:type="auto"/>
            <w:vMerge w:val="continue"/>
            <w:shd w:val="clear" w:color="auto" w:fill="auto"/>
            <w:vAlign w:val="center"/>
          </w:tcPr>
          <w:p w14:paraId="72F02A83">
            <w:pPr>
              <w:jc w:val="left"/>
              <w:rPr>
                <w:rFonts w:hint="eastAsia" w:ascii="宋体"/>
                <w:sz w:val="24"/>
                <w:szCs w:val="24"/>
              </w:rPr>
            </w:pPr>
          </w:p>
        </w:tc>
        <w:tc>
          <w:tcPr>
            <w:tcW w:w="0" w:type="auto"/>
            <w:shd w:val="clear" w:color="auto" w:fill="auto"/>
            <w:vAlign w:val="center"/>
          </w:tcPr>
          <w:p w14:paraId="62E128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1280×720p@60/59.94</w:t>
            </w:r>
          </w:p>
        </w:tc>
        <w:tc>
          <w:tcPr>
            <w:tcW w:w="0" w:type="auto"/>
            <w:shd w:val="clear" w:color="auto" w:fill="auto"/>
            <w:vAlign w:val="center"/>
          </w:tcPr>
          <w:p w14:paraId="5D9FDB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1280×720p@60</w:t>
            </w:r>
          </w:p>
        </w:tc>
        <w:tc>
          <w:tcPr>
            <w:tcW w:w="0" w:type="auto"/>
            <w:vMerge w:val="continue"/>
            <w:shd w:val="clear" w:color="auto" w:fill="auto"/>
            <w:vAlign w:val="center"/>
          </w:tcPr>
          <w:p w14:paraId="463828EE">
            <w:pPr>
              <w:jc w:val="left"/>
              <w:rPr>
                <w:rFonts w:hint="eastAsia" w:ascii="宋体"/>
                <w:sz w:val="24"/>
                <w:szCs w:val="24"/>
              </w:rPr>
            </w:pPr>
          </w:p>
        </w:tc>
      </w:tr>
      <w:tr w14:paraId="5F6F74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041CBD0">
            <w:pPr>
              <w:jc w:val="left"/>
              <w:rPr>
                <w:rFonts w:hint="eastAsia" w:ascii="宋体"/>
                <w:sz w:val="24"/>
                <w:szCs w:val="24"/>
              </w:rPr>
            </w:pPr>
          </w:p>
        </w:tc>
        <w:tc>
          <w:tcPr>
            <w:tcW w:w="0" w:type="auto"/>
            <w:vMerge w:val="continue"/>
            <w:shd w:val="clear" w:color="auto" w:fill="auto"/>
            <w:vAlign w:val="center"/>
          </w:tcPr>
          <w:p w14:paraId="3EA79707">
            <w:pPr>
              <w:jc w:val="left"/>
              <w:rPr>
                <w:rFonts w:hint="eastAsia" w:ascii="宋体"/>
                <w:sz w:val="24"/>
                <w:szCs w:val="24"/>
              </w:rPr>
            </w:pPr>
          </w:p>
        </w:tc>
        <w:tc>
          <w:tcPr>
            <w:tcW w:w="0" w:type="auto"/>
            <w:shd w:val="clear" w:color="auto" w:fill="auto"/>
            <w:vAlign w:val="center"/>
          </w:tcPr>
          <w:p w14:paraId="0C9997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1280×720p@50</w:t>
            </w:r>
          </w:p>
        </w:tc>
        <w:tc>
          <w:tcPr>
            <w:tcW w:w="0" w:type="auto"/>
            <w:shd w:val="clear" w:color="auto" w:fill="auto"/>
            <w:vAlign w:val="center"/>
          </w:tcPr>
          <w:p w14:paraId="009978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1280×720p@50</w:t>
            </w:r>
          </w:p>
        </w:tc>
        <w:tc>
          <w:tcPr>
            <w:tcW w:w="0" w:type="auto"/>
            <w:vMerge w:val="continue"/>
            <w:shd w:val="clear" w:color="auto" w:fill="auto"/>
            <w:vAlign w:val="center"/>
          </w:tcPr>
          <w:p w14:paraId="4A60F59F">
            <w:pPr>
              <w:jc w:val="left"/>
              <w:rPr>
                <w:rFonts w:hint="eastAsia" w:ascii="宋体"/>
                <w:sz w:val="24"/>
                <w:szCs w:val="24"/>
              </w:rPr>
            </w:pPr>
          </w:p>
        </w:tc>
      </w:tr>
      <w:tr w14:paraId="3E8792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70EC0E3">
            <w:pPr>
              <w:jc w:val="left"/>
              <w:rPr>
                <w:rFonts w:hint="eastAsia" w:ascii="宋体"/>
                <w:sz w:val="24"/>
                <w:szCs w:val="24"/>
              </w:rPr>
            </w:pPr>
          </w:p>
        </w:tc>
        <w:tc>
          <w:tcPr>
            <w:tcW w:w="0" w:type="auto"/>
            <w:vMerge w:val="continue"/>
            <w:shd w:val="clear" w:color="auto" w:fill="auto"/>
            <w:vAlign w:val="center"/>
          </w:tcPr>
          <w:p w14:paraId="3EC5986F">
            <w:pPr>
              <w:jc w:val="left"/>
              <w:rPr>
                <w:rFonts w:hint="eastAsia" w:ascii="宋体"/>
                <w:sz w:val="24"/>
                <w:szCs w:val="24"/>
              </w:rPr>
            </w:pPr>
          </w:p>
        </w:tc>
        <w:tc>
          <w:tcPr>
            <w:tcW w:w="0" w:type="auto"/>
            <w:shd w:val="clear" w:color="auto" w:fill="auto"/>
            <w:vAlign w:val="center"/>
          </w:tcPr>
          <w:p w14:paraId="120F55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720×576i@50</w:t>
            </w:r>
          </w:p>
        </w:tc>
        <w:tc>
          <w:tcPr>
            <w:tcW w:w="0" w:type="auto"/>
            <w:shd w:val="clear" w:color="auto" w:fill="auto"/>
            <w:vAlign w:val="center"/>
          </w:tcPr>
          <w:p w14:paraId="11A639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720×576i @50</w:t>
            </w:r>
          </w:p>
        </w:tc>
        <w:tc>
          <w:tcPr>
            <w:tcW w:w="0" w:type="auto"/>
            <w:vMerge w:val="restart"/>
            <w:shd w:val="clear" w:color="auto" w:fill="auto"/>
            <w:vAlign w:val="center"/>
          </w:tcPr>
          <w:p w14:paraId="552AD0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SDI, HDMI</w:t>
            </w:r>
          </w:p>
        </w:tc>
      </w:tr>
      <w:tr w14:paraId="769EDB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6993F5">
            <w:pPr>
              <w:jc w:val="left"/>
              <w:rPr>
                <w:rFonts w:hint="eastAsia" w:ascii="宋体"/>
                <w:sz w:val="24"/>
                <w:szCs w:val="24"/>
              </w:rPr>
            </w:pPr>
          </w:p>
        </w:tc>
        <w:tc>
          <w:tcPr>
            <w:tcW w:w="0" w:type="auto"/>
            <w:vMerge w:val="continue"/>
            <w:shd w:val="clear" w:color="auto" w:fill="auto"/>
            <w:vAlign w:val="center"/>
          </w:tcPr>
          <w:p w14:paraId="1ED917EB">
            <w:pPr>
              <w:jc w:val="left"/>
              <w:rPr>
                <w:rFonts w:hint="eastAsia" w:ascii="宋体"/>
                <w:sz w:val="24"/>
                <w:szCs w:val="24"/>
              </w:rPr>
            </w:pPr>
          </w:p>
        </w:tc>
        <w:tc>
          <w:tcPr>
            <w:tcW w:w="0" w:type="auto"/>
            <w:shd w:val="clear" w:color="auto" w:fill="auto"/>
            <w:vAlign w:val="center"/>
          </w:tcPr>
          <w:p w14:paraId="52BD6F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720×480i@60</w:t>
            </w:r>
          </w:p>
        </w:tc>
        <w:tc>
          <w:tcPr>
            <w:tcW w:w="0" w:type="auto"/>
            <w:shd w:val="clear" w:color="auto" w:fill="auto"/>
            <w:vAlign w:val="center"/>
          </w:tcPr>
          <w:p w14:paraId="3667BC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720×480i @60</w:t>
            </w:r>
          </w:p>
        </w:tc>
        <w:tc>
          <w:tcPr>
            <w:tcW w:w="0" w:type="auto"/>
            <w:vMerge w:val="continue"/>
            <w:shd w:val="clear" w:color="auto" w:fill="auto"/>
            <w:vAlign w:val="center"/>
          </w:tcPr>
          <w:p w14:paraId="0202C1EF">
            <w:pPr>
              <w:jc w:val="left"/>
              <w:rPr>
                <w:rFonts w:hint="eastAsia" w:ascii="宋体"/>
                <w:sz w:val="24"/>
                <w:szCs w:val="24"/>
              </w:rPr>
            </w:pPr>
          </w:p>
        </w:tc>
      </w:tr>
      <w:tr w14:paraId="7E395E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3FF5E7">
            <w:pPr>
              <w:jc w:val="left"/>
              <w:rPr>
                <w:rFonts w:hint="eastAsia" w:ascii="宋体"/>
                <w:sz w:val="24"/>
                <w:szCs w:val="24"/>
              </w:rPr>
            </w:pPr>
          </w:p>
        </w:tc>
        <w:tc>
          <w:tcPr>
            <w:tcW w:w="0" w:type="auto"/>
            <w:shd w:val="clear" w:color="auto" w:fill="auto"/>
            <w:vAlign w:val="center"/>
          </w:tcPr>
          <w:p w14:paraId="789731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0" w:type="auto"/>
            <w:gridSpan w:val="3"/>
            <w:shd w:val="clear" w:color="auto" w:fill="auto"/>
            <w:vAlign w:val="center"/>
          </w:tcPr>
          <w:p w14:paraId="488E3F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HD/SD,</w:t>
            </w:r>
          </w:p>
          <w:p w14:paraId="43B6DB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HD/SD</w:t>
            </w:r>
          </w:p>
        </w:tc>
      </w:tr>
      <w:tr w14:paraId="0E1F0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EBA37F">
            <w:pPr>
              <w:jc w:val="left"/>
              <w:rPr>
                <w:rFonts w:hint="eastAsia" w:ascii="宋体"/>
                <w:sz w:val="24"/>
                <w:szCs w:val="24"/>
              </w:rPr>
            </w:pPr>
          </w:p>
        </w:tc>
        <w:tc>
          <w:tcPr>
            <w:tcW w:w="0" w:type="auto"/>
            <w:shd w:val="clear" w:color="auto" w:fill="auto"/>
            <w:vAlign w:val="center"/>
          </w:tcPr>
          <w:p w14:paraId="793F83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Range</w:t>
            </w:r>
          </w:p>
        </w:tc>
        <w:tc>
          <w:tcPr>
            <w:tcW w:w="0" w:type="auto"/>
            <w:gridSpan w:val="3"/>
            <w:shd w:val="clear" w:color="auto" w:fill="auto"/>
            <w:vAlign w:val="center"/>
          </w:tcPr>
          <w:p w14:paraId="54DDC8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 – 19.00 Mbps</w:t>
            </w:r>
          </w:p>
        </w:tc>
      </w:tr>
      <w:tr w14:paraId="12787F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F606FA">
            <w:pPr>
              <w:jc w:val="left"/>
              <w:rPr>
                <w:rFonts w:hint="eastAsia" w:ascii="宋体"/>
                <w:sz w:val="24"/>
                <w:szCs w:val="24"/>
              </w:rPr>
            </w:pPr>
          </w:p>
        </w:tc>
        <w:tc>
          <w:tcPr>
            <w:tcW w:w="0" w:type="auto"/>
            <w:shd w:val="clear" w:color="auto" w:fill="auto"/>
            <w:vAlign w:val="center"/>
          </w:tcPr>
          <w:p w14:paraId="505309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0" w:type="auto"/>
            <w:gridSpan w:val="3"/>
            <w:shd w:val="clear" w:color="auto" w:fill="auto"/>
            <w:vAlign w:val="center"/>
          </w:tcPr>
          <w:p w14:paraId="045EA2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5E12A7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6B818F">
            <w:pPr>
              <w:jc w:val="left"/>
              <w:rPr>
                <w:rFonts w:hint="eastAsia" w:ascii="宋体"/>
                <w:sz w:val="24"/>
                <w:szCs w:val="24"/>
              </w:rPr>
            </w:pPr>
          </w:p>
        </w:tc>
        <w:tc>
          <w:tcPr>
            <w:tcW w:w="0" w:type="auto"/>
            <w:shd w:val="clear" w:color="auto" w:fill="auto"/>
            <w:vAlign w:val="center"/>
          </w:tcPr>
          <w:p w14:paraId="384C8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0" w:type="auto"/>
            <w:gridSpan w:val="3"/>
            <w:shd w:val="clear" w:color="auto" w:fill="auto"/>
            <w:vAlign w:val="center"/>
          </w:tcPr>
          <w:p w14:paraId="3D57C8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IBBP, IBBBP</w:t>
            </w:r>
          </w:p>
        </w:tc>
      </w:tr>
      <w:tr w14:paraId="4A6DBE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A481FAC">
            <w:pPr>
              <w:jc w:val="left"/>
              <w:rPr>
                <w:rFonts w:hint="eastAsia" w:ascii="宋体"/>
                <w:sz w:val="24"/>
                <w:szCs w:val="24"/>
              </w:rPr>
            </w:pPr>
          </w:p>
        </w:tc>
        <w:tc>
          <w:tcPr>
            <w:tcW w:w="0" w:type="auto"/>
            <w:shd w:val="clear" w:color="auto" w:fill="auto"/>
            <w:vAlign w:val="center"/>
          </w:tcPr>
          <w:p w14:paraId="7A44E2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w:t>
            </w:r>
          </w:p>
        </w:tc>
        <w:tc>
          <w:tcPr>
            <w:tcW w:w="0" w:type="auto"/>
            <w:gridSpan w:val="3"/>
            <w:shd w:val="clear" w:color="auto" w:fill="auto"/>
            <w:vAlign w:val="center"/>
          </w:tcPr>
          <w:p w14:paraId="537E3F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w:t>
            </w:r>
          </w:p>
        </w:tc>
      </w:tr>
      <w:tr w14:paraId="1B872A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D5E08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w:t>
            </w:r>
          </w:p>
        </w:tc>
        <w:tc>
          <w:tcPr>
            <w:tcW w:w="0" w:type="auto"/>
            <w:shd w:val="clear" w:color="auto" w:fill="auto"/>
            <w:vAlign w:val="center"/>
          </w:tcPr>
          <w:p w14:paraId="7E2C87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0" w:type="auto"/>
            <w:gridSpan w:val="3"/>
            <w:shd w:val="clear" w:color="auto" w:fill="auto"/>
            <w:vAlign w:val="center"/>
          </w:tcPr>
          <w:p w14:paraId="1AE6D1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2×XLR, 2×AES, 2×BNC, 1×SDI (support maximum 2 stereos synchronous processing), 1×HDMI,</w:t>
            </w:r>
          </w:p>
        </w:tc>
      </w:tr>
      <w:tr w14:paraId="1035A8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926FE1">
            <w:pPr>
              <w:jc w:val="left"/>
              <w:rPr>
                <w:rFonts w:hint="eastAsia" w:ascii="宋体"/>
                <w:sz w:val="24"/>
                <w:szCs w:val="24"/>
              </w:rPr>
            </w:pPr>
          </w:p>
        </w:tc>
        <w:tc>
          <w:tcPr>
            <w:tcW w:w="0" w:type="auto"/>
            <w:shd w:val="clear" w:color="auto" w:fill="auto"/>
            <w:vAlign w:val="center"/>
          </w:tcPr>
          <w:p w14:paraId="1E6022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0" w:type="auto"/>
            <w:gridSpan w:val="3"/>
            <w:shd w:val="clear" w:color="auto" w:fill="auto"/>
            <w:vAlign w:val="center"/>
          </w:tcPr>
          <w:p w14:paraId="2114E7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HE-AAC (v1&amp;v2), LC-AAC, DD AC3 (2.0)</w:t>
            </w:r>
          </w:p>
          <w:p w14:paraId="61F611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pass-through (for SDI and HDMI in)</w:t>
            </w:r>
          </w:p>
        </w:tc>
      </w:tr>
      <w:tr w14:paraId="12E9AC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B994DEA">
            <w:pPr>
              <w:jc w:val="left"/>
              <w:rPr>
                <w:rFonts w:hint="eastAsia" w:ascii="宋体"/>
                <w:sz w:val="24"/>
                <w:szCs w:val="24"/>
              </w:rPr>
            </w:pPr>
          </w:p>
        </w:tc>
        <w:tc>
          <w:tcPr>
            <w:tcW w:w="0" w:type="auto"/>
            <w:shd w:val="clear" w:color="auto" w:fill="auto"/>
            <w:vAlign w:val="center"/>
          </w:tcPr>
          <w:p w14:paraId="79D5F0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0" w:type="auto"/>
            <w:gridSpan w:val="3"/>
            <w:shd w:val="clear" w:color="auto" w:fill="auto"/>
            <w:vAlign w:val="center"/>
          </w:tcPr>
          <w:p w14:paraId="2C23AF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3C592A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C17C968">
            <w:pPr>
              <w:jc w:val="left"/>
              <w:rPr>
                <w:rFonts w:hint="eastAsia" w:ascii="宋体"/>
                <w:sz w:val="24"/>
                <w:szCs w:val="24"/>
              </w:rPr>
            </w:pPr>
          </w:p>
        </w:tc>
        <w:tc>
          <w:tcPr>
            <w:tcW w:w="0" w:type="auto"/>
            <w:shd w:val="clear" w:color="auto" w:fill="auto"/>
            <w:vAlign w:val="center"/>
          </w:tcPr>
          <w:p w14:paraId="37C356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0" w:type="auto"/>
            <w:gridSpan w:val="3"/>
            <w:shd w:val="clear" w:color="auto" w:fill="auto"/>
            <w:vAlign w:val="center"/>
          </w:tcPr>
          <w:p w14:paraId="7ED4B6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32Kbps~384Kbps</w:t>
            </w:r>
          </w:p>
        </w:tc>
      </w:tr>
      <w:tr w14:paraId="628C32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744614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Input</w:t>
            </w:r>
          </w:p>
        </w:tc>
        <w:tc>
          <w:tcPr>
            <w:tcW w:w="0" w:type="auto"/>
            <w:gridSpan w:val="3"/>
            <w:shd w:val="clear" w:color="auto" w:fill="auto"/>
            <w:vAlign w:val="center"/>
          </w:tcPr>
          <w:p w14:paraId="733626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Input for remux</w:t>
            </w:r>
          </w:p>
        </w:tc>
      </w:tr>
      <w:tr w14:paraId="3E21BE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4596B3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output</w:t>
            </w:r>
          </w:p>
        </w:tc>
        <w:tc>
          <w:tcPr>
            <w:tcW w:w="0" w:type="auto"/>
            <w:gridSpan w:val="3"/>
            <w:shd w:val="clear" w:color="auto" w:fill="auto"/>
            <w:vAlign w:val="center"/>
          </w:tcPr>
          <w:p w14:paraId="66D3DC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2×ASI output ports, BNC interface</w:t>
            </w:r>
          </w:p>
        </w:tc>
      </w:tr>
      <w:tr w14:paraId="130D4B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42BD72E7">
            <w:pPr>
              <w:jc w:val="left"/>
              <w:rPr>
                <w:rFonts w:hint="eastAsia" w:ascii="宋体"/>
                <w:sz w:val="24"/>
                <w:szCs w:val="24"/>
              </w:rPr>
            </w:pPr>
          </w:p>
        </w:tc>
        <w:tc>
          <w:tcPr>
            <w:tcW w:w="0" w:type="auto"/>
            <w:gridSpan w:val="3"/>
            <w:shd w:val="clear" w:color="auto" w:fill="auto"/>
            <w:vAlign w:val="center"/>
          </w:tcPr>
          <w:p w14:paraId="38933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IP (MPTS) over UDP / RTP /RTSP, 1000 Base-T Ethernet interface*2 with independent IP addresses (multicast/unicast)</w:t>
            </w:r>
          </w:p>
        </w:tc>
      </w:tr>
      <w:tr w14:paraId="7E0993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2731C0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 function</w:t>
            </w:r>
          </w:p>
        </w:tc>
        <w:tc>
          <w:tcPr>
            <w:tcW w:w="0" w:type="auto"/>
            <w:gridSpan w:val="3"/>
            <w:shd w:val="clear" w:color="auto" w:fill="auto"/>
            <w:vAlign w:val="center"/>
          </w:tcPr>
          <w:p w14:paraId="4814A9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LCD/keyboard and web management </w:t>
            </w:r>
          </w:p>
        </w:tc>
      </w:tr>
      <w:tr w14:paraId="75001B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2BEE7AF8">
            <w:pPr>
              <w:jc w:val="left"/>
              <w:rPr>
                <w:rFonts w:hint="eastAsia" w:ascii="宋体"/>
                <w:sz w:val="24"/>
                <w:szCs w:val="24"/>
              </w:rPr>
            </w:pPr>
          </w:p>
        </w:tc>
        <w:tc>
          <w:tcPr>
            <w:tcW w:w="0" w:type="auto"/>
            <w:gridSpan w:val="3"/>
            <w:shd w:val="clear" w:color="auto" w:fill="auto"/>
            <w:vAlign w:val="center"/>
          </w:tcPr>
          <w:p w14:paraId="16FF27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w:t>
            </w:r>
          </w:p>
        </w:tc>
      </w:tr>
      <w:tr w14:paraId="1C67BB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611CC2D6">
            <w:pPr>
              <w:jc w:val="left"/>
              <w:rPr>
                <w:rFonts w:hint="eastAsia" w:ascii="宋体"/>
                <w:sz w:val="24"/>
                <w:szCs w:val="24"/>
              </w:rPr>
            </w:pPr>
          </w:p>
        </w:tc>
        <w:tc>
          <w:tcPr>
            <w:tcW w:w="0" w:type="auto"/>
            <w:gridSpan w:val="3"/>
            <w:shd w:val="clear" w:color="auto" w:fill="auto"/>
            <w:vAlign w:val="center"/>
          </w:tcPr>
          <w:p w14:paraId="56D680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1C34AE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restart"/>
            <w:shd w:val="clear" w:color="auto" w:fill="auto"/>
            <w:vAlign w:val="center"/>
          </w:tcPr>
          <w:p w14:paraId="5D4C07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shd w:val="clear" w:color="auto" w:fill="auto"/>
            <w:vAlign w:val="center"/>
          </w:tcPr>
          <w:p w14:paraId="25ADC7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0" w:type="auto"/>
            <w:gridSpan w:val="2"/>
            <w:shd w:val="clear" w:color="auto" w:fill="auto"/>
            <w:vAlign w:val="center"/>
          </w:tcPr>
          <w:p w14:paraId="606610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482mm×405mm×44.5mm (W × D × H)</w:t>
            </w:r>
          </w:p>
        </w:tc>
      </w:tr>
      <w:tr w14:paraId="14039A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0D2CB4D2">
            <w:pPr>
              <w:jc w:val="left"/>
              <w:rPr>
                <w:rFonts w:hint="eastAsia" w:ascii="宋体"/>
                <w:sz w:val="24"/>
                <w:szCs w:val="24"/>
              </w:rPr>
            </w:pPr>
          </w:p>
        </w:tc>
        <w:tc>
          <w:tcPr>
            <w:tcW w:w="0" w:type="auto"/>
            <w:shd w:val="clear" w:color="auto" w:fill="auto"/>
            <w:vAlign w:val="center"/>
          </w:tcPr>
          <w:p w14:paraId="1E8B71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0" w:type="auto"/>
            <w:gridSpan w:val="2"/>
            <w:shd w:val="clear" w:color="auto" w:fill="auto"/>
            <w:vAlign w:val="center"/>
          </w:tcPr>
          <w:p w14:paraId="0E0E2A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1EC928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30D78217">
            <w:pPr>
              <w:jc w:val="left"/>
              <w:rPr>
                <w:rFonts w:hint="eastAsia" w:ascii="宋体"/>
                <w:sz w:val="24"/>
                <w:szCs w:val="24"/>
              </w:rPr>
            </w:pPr>
          </w:p>
        </w:tc>
        <w:tc>
          <w:tcPr>
            <w:tcW w:w="0" w:type="auto"/>
            <w:shd w:val="clear" w:color="auto" w:fill="auto"/>
            <w:vAlign w:val="center"/>
          </w:tcPr>
          <w:p w14:paraId="130985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w:t>
            </w:r>
          </w:p>
        </w:tc>
        <w:tc>
          <w:tcPr>
            <w:tcW w:w="0" w:type="auto"/>
            <w:gridSpan w:val="2"/>
            <w:shd w:val="clear" w:color="auto" w:fill="auto"/>
            <w:vAlign w:val="center"/>
          </w:tcPr>
          <w:p w14:paraId="1FF726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AC110V±10%, 50/60Hz; AC 220V±10%,50/60Hz</w:t>
            </w:r>
          </w:p>
        </w:tc>
      </w:tr>
      <w:tr w14:paraId="0E6290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gridSpan w:val="2"/>
            <w:vMerge w:val="continue"/>
            <w:shd w:val="clear" w:color="auto" w:fill="auto"/>
            <w:vAlign w:val="center"/>
          </w:tcPr>
          <w:p w14:paraId="061841FE">
            <w:pPr>
              <w:jc w:val="left"/>
              <w:rPr>
                <w:rFonts w:hint="eastAsia" w:ascii="宋体"/>
                <w:sz w:val="24"/>
                <w:szCs w:val="24"/>
              </w:rPr>
            </w:pPr>
          </w:p>
        </w:tc>
        <w:tc>
          <w:tcPr>
            <w:tcW w:w="0" w:type="auto"/>
            <w:shd w:val="clear" w:color="auto" w:fill="auto"/>
            <w:vAlign w:val="center"/>
          </w:tcPr>
          <w:p w14:paraId="15C86A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0" w:type="auto"/>
            <w:gridSpan w:val="2"/>
            <w:shd w:val="clear" w:color="auto" w:fill="auto"/>
            <w:vAlign w:val="center"/>
          </w:tcPr>
          <w:p w14:paraId="1F0431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16W</w:t>
            </w:r>
          </w:p>
        </w:tc>
      </w:tr>
    </w:tbl>
    <w:p w14:paraId="420CB0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3E4E3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646"/>
        <w:gridCol w:w="4010"/>
        <w:gridCol w:w="4094"/>
      </w:tblGrid>
      <w:tr w14:paraId="143284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1E001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0" w:type="auto"/>
            <w:shd w:val="clear" w:color="auto" w:fill="auto"/>
            <w:vAlign w:val="center"/>
          </w:tcPr>
          <w:p w14:paraId="743DC5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eastAsia"/>
                <w:lang w:eastAsia="zh-CN"/>
              </w:rPr>
              <w:t>FU-4322</w:t>
            </w:r>
            <w:r>
              <w:t>B(V2)</w:t>
            </w:r>
          </w:p>
        </w:tc>
        <w:tc>
          <w:tcPr>
            <w:tcW w:w="0" w:type="auto"/>
            <w:shd w:val="clear" w:color="auto" w:fill="auto"/>
            <w:vAlign w:val="center"/>
          </w:tcPr>
          <w:p w14:paraId="0A0863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eastAsia"/>
                <w:lang w:eastAsia="zh-CN"/>
              </w:rPr>
              <w:t>FU-4322</w:t>
            </w:r>
            <w:r>
              <w:t>HS</w:t>
            </w:r>
          </w:p>
        </w:tc>
      </w:tr>
      <w:tr w14:paraId="5AA66D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85DBE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Chipset</w:t>
            </w:r>
          </w:p>
        </w:tc>
        <w:tc>
          <w:tcPr>
            <w:tcW w:w="0" w:type="auto"/>
            <w:shd w:val="clear" w:color="auto" w:fill="auto"/>
            <w:vAlign w:val="center"/>
          </w:tcPr>
          <w:p w14:paraId="75CA75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Vixs</w:t>
            </w:r>
          </w:p>
        </w:tc>
        <w:tc>
          <w:tcPr>
            <w:tcW w:w="0" w:type="auto"/>
            <w:shd w:val="clear" w:color="auto" w:fill="auto"/>
            <w:vAlign w:val="center"/>
          </w:tcPr>
          <w:p w14:paraId="403E8D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Hisilicon</w:t>
            </w:r>
          </w:p>
        </w:tc>
      </w:tr>
      <w:tr w14:paraId="5B9DC0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B067D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tc>
        <w:tc>
          <w:tcPr>
            <w:tcW w:w="0" w:type="auto"/>
            <w:shd w:val="clear" w:color="auto" w:fill="auto"/>
            <w:vAlign w:val="center"/>
          </w:tcPr>
          <w:p w14:paraId="577947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HD/SD;</w:t>
            </w:r>
          </w:p>
          <w:p w14:paraId="61644E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HD/SD</w:t>
            </w:r>
          </w:p>
        </w:tc>
        <w:tc>
          <w:tcPr>
            <w:tcW w:w="0" w:type="auto"/>
            <w:shd w:val="clear" w:color="auto" w:fill="auto"/>
            <w:vAlign w:val="center"/>
          </w:tcPr>
          <w:p w14:paraId="5F8D32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HEVC/H.265 HD/SD</w:t>
            </w:r>
          </w:p>
          <w:p w14:paraId="4C11AE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HD/SD</w:t>
            </w:r>
          </w:p>
        </w:tc>
      </w:tr>
      <w:tr w14:paraId="382B0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E20AE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0" w:type="auto"/>
            <w:shd w:val="clear" w:color="auto" w:fill="auto"/>
            <w:vAlign w:val="center"/>
          </w:tcPr>
          <w:p w14:paraId="63C780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2.5Mbps~19.0Mbps</w:t>
            </w:r>
          </w:p>
        </w:tc>
        <w:tc>
          <w:tcPr>
            <w:tcW w:w="0" w:type="auto"/>
            <w:shd w:val="clear" w:color="auto" w:fill="auto"/>
            <w:vAlign w:val="center"/>
          </w:tcPr>
          <w:p w14:paraId="4A0788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1Mbps~15Mbps</w:t>
            </w:r>
          </w:p>
        </w:tc>
      </w:tr>
      <w:tr w14:paraId="37E448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768C6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Resolution</w:t>
            </w:r>
          </w:p>
        </w:tc>
        <w:tc>
          <w:tcPr>
            <w:tcW w:w="0" w:type="auto"/>
            <w:shd w:val="clear" w:color="auto" w:fill="auto"/>
            <w:vAlign w:val="center"/>
          </w:tcPr>
          <w:p w14:paraId="103113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HD/SD</w:t>
            </w:r>
          </w:p>
        </w:tc>
        <w:tc>
          <w:tcPr>
            <w:tcW w:w="0" w:type="auto"/>
            <w:shd w:val="clear" w:color="auto" w:fill="auto"/>
            <w:vAlign w:val="center"/>
          </w:tcPr>
          <w:p w14:paraId="697FD2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HD/SD</w:t>
            </w:r>
          </w:p>
        </w:tc>
      </w:tr>
      <w:tr w14:paraId="5531FB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EC1F4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Encode</w:t>
            </w:r>
          </w:p>
        </w:tc>
        <w:tc>
          <w:tcPr>
            <w:tcW w:w="0" w:type="auto"/>
            <w:shd w:val="clear" w:color="auto" w:fill="auto"/>
            <w:vAlign w:val="center"/>
          </w:tcPr>
          <w:p w14:paraId="58066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w:t>
            </w:r>
          </w:p>
          <w:p w14:paraId="597A03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(v1&amp;v2), </w:t>
            </w:r>
          </w:p>
          <w:p w14:paraId="096163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LC-AAC,</w:t>
            </w:r>
          </w:p>
          <w:p w14:paraId="4EFE42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(2.0),</w:t>
            </w:r>
          </w:p>
          <w:p w14:paraId="4F980B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pass-through (for SDI and HDMI in)</w:t>
            </w:r>
          </w:p>
        </w:tc>
        <w:tc>
          <w:tcPr>
            <w:tcW w:w="0" w:type="auto"/>
            <w:shd w:val="clear" w:color="auto" w:fill="auto"/>
            <w:vAlign w:val="center"/>
          </w:tcPr>
          <w:p w14:paraId="521AEE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HE-AAC (v1&amp;v2), LC-AAC,</w:t>
            </w:r>
          </w:p>
          <w:p w14:paraId="1CEB41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pass-through (for SDI and HDMI in)</w:t>
            </w:r>
          </w:p>
        </w:tc>
      </w:tr>
      <w:tr w14:paraId="2587A1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D8485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Channel</w:t>
            </w:r>
          </w:p>
        </w:tc>
        <w:tc>
          <w:tcPr>
            <w:tcW w:w="0" w:type="auto"/>
            <w:shd w:val="clear" w:color="auto" w:fill="auto"/>
            <w:vAlign w:val="center"/>
          </w:tcPr>
          <w:p w14:paraId="76E344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 to 2 stereos</w:t>
            </w:r>
          </w:p>
        </w:tc>
        <w:tc>
          <w:tcPr>
            <w:tcW w:w="0" w:type="auto"/>
            <w:shd w:val="clear" w:color="auto" w:fill="auto"/>
            <w:vAlign w:val="center"/>
          </w:tcPr>
          <w:p w14:paraId="020211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 to 2 stereos</w:t>
            </w:r>
          </w:p>
        </w:tc>
      </w:tr>
      <w:tr w14:paraId="276A81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7D64E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0" w:type="auto"/>
            <w:shd w:val="clear" w:color="auto" w:fill="auto"/>
            <w:vAlign w:val="center"/>
          </w:tcPr>
          <w:p w14:paraId="6AB0AC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c>
          <w:tcPr>
            <w:tcW w:w="0" w:type="auto"/>
            <w:shd w:val="clear" w:color="auto" w:fill="auto"/>
            <w:vAlign w:val="center"/>
          </w:tcPr>
          <w:p w14:paraId="6BED29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78F238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E68FE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Aspect Ratio</w:t>
            </w:r>
          </w:p>
        </w:tc>
        <w:tc>
          <w:tcPr>
            <w:tcW w:w="0" w:type="auto"/>
            <w:shd w:val="clear" w:color="auto" w:fill="auto"/>
            <w:vAlign w:val="center"/>
          </w:tcPr>
          <w:p w14:paraId="568EFC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16:9, 4:3</w:t>
            </w:r>
          </w:p>
        </w:tc>
        <w:tc>
          <w:tcPr>
            <w:tcW w:w="0" w:type="auto"/>
            <w:shd w:val="clear" w:color="auto" w:fill="auto"/>
            <w:vAlign w:val="center"/>
          </w:tcPr>
          <w:p w14:paraId="32980A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549B30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9D185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w:t>
            </w:r>
          </w:p>
        </w:tc>
        <w:tc>
          <w:tcPr>
            <w:tcW w:w="0" w:type="auto"/>
            <w:shd w:val="clear" w:color="auto" w:fill="auto"/>
            <w:vAlign w:val="center"/>
          </w:tcPr>
          <w:p w14:paraId="7DD4E9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w:t>
            </w:r>
          </w:p>
        </w:tc>
        <w:tc>
          <w:tcPr>
            <w:tcW w:w="0" w:type="auto"/>
            <w:shd w:val="clear" w:color="auto" w:fill="auto"/>
            <w:vAlign w:val="center"/>
          </w:tcPr>
          <w:p w14:paraId="5C27F7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w:t>
            </w:r>
          </w:p>
        </w:tc>
      </w:tr>
      <w:tr w14:paraId="68173B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BD748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Buffer</w:t>
            </w:r>
          </w:p>
        </w:tc>
        <w:tc>
          <w:tcPr>
            <w:tcW w:w="0" w:type="auto"/>
            <w:shd w:val="clear" w:color="auto" w:fill="auto"/>
            <w:vAlign w:val="center"/>
          </w:tcPr>
          <w:p w14:paraId="32D15C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Yes</w:t>
            </w:r>
          </w:p>
        </w:tc>
        <w:tc>
          <w:tcPr>
            <w:tcW w:w="0" w:type="auto"/>
            <w:shd w:val="clear" w:color="auto" w:fill="auto"/>
            <w:vAlign w:val="center"/>
          </w:tcPr>
          <w:p w14:paraId="3841C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r>
      <w:tr w14:paraId="7F1D77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E9598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 &amp; Mux</w:t>
            </w:r>
          </w:p>
        </w:tc>
        <w:tc>
          <w:tcPr>
            <w:tcW w:w="0" w:type="auto"/>
            <w:shd w:val="clear" w:color="auto" w:fill="auto"/>
            <w:vAlign w:val="center"/>
          </w:tcPr>
          <w:p w14:paraId="2934EA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input for remux</w:t>
            </w:r>
          </w:p>
        </w:tc>
        <w:tc>
          <w:tcPr>
            <w:tcW w:w="0" w:type="auto"/>
            <w:shd w:val="clear" w:color="auto" w:fill="auto"/>
            <w:vAlign w:val="center"/>
          </w:tcPr>
          <w:p w14:paraId="0DC5CC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input for remux</w:t>
            </w:r>
          </w:p>
        </w:tc>
      </w:tr>
      <w:tr w14:paraId="15B7F8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E747E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out</w:t>
            </w:r>
          </w:p>
        </w:tc>
        <w:tc>
          <w:tcPr>
            <w:tcW w:w="0" w:type="auto"/>
            <w:shd w:val="clear" w:color="auto" w:fill="auto"/>
            <w:vAlign w:val="center"/>
          </w:tcPr>
          <w:p w14:paraId="5F5827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over UDP / RTP /RTSP</w:t>
            </w:r>
          </w:p>
        </w:tc>
        <w:tc>
          <w:tcPr>
            <w:tcW w:w="0" w:type="auto"/>
            <w:shd w:val="clear" w:color="auto" w:fill="auto"/>
            <w:vAlign w:val="center"/>
          </w:tcPr>
          <w:p w14:paraId="097784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over UDP / RTP /RTSP</w:t>
            </w:r>
          </w:p>
        </w:tc>
      </w:tr>
      <w:tr w14:paraId="0AEB6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07BBB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Low Delay</w:t>
            </w:r>
          </w:p>
        </w:tc>
        <w:tc>
          <w:tcPr>
            <w:tcW w:w="0" w:type="auto"/>
            <w:shd w:val="clear" w:color="auto" w:fill="auto"/>
            <w:vAlign w:val="center"/>
          </w:tcPr>
          <w:p w14:paraId="47E74E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150ms - 650ms</w:t>
            </w:r>
          </w:p>
        </w:tc>
        <w:tc>
          <w:tcPr>
            <w:tcW w:w="0" w:type="auto"/>
            <w:shd w:val="clear" w:color="auto" w:fill="auto"/>
            <w:vAlign w:val="center"/>
          </w:tcPr>
          <w:p w14:paraId="6E097F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r>
      <w:tr w14:paraId="5E665C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7D319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Closed Caption</w:t>
            </w:r>
          </w:p>
        </w:tc>
        <w:tc>
          <w:tcPr>
            <w:tcW w:w="0" w:type="auto"/>
            <w:shd w:val="clear" w:color="auto" w:fill="auto"/>
            <w:vAlign w:val="center"/>
          </w:tcPr>
          <w:p w14:paraId="41731D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EIA 608 and EIA 708</w:t>
            </w:r>
          </w:p>
        </w:tc>
        <w:tc>
          <w:tcPr>
            <w:tcW w:w="0" w:type="auto"/>
            <w:shd w:val="clear" w:color="auto" w:fill="auto"/>
            <w:vAlign w:val="center"/>
          </w:tcPr>
          <w:p w14:paraId="372754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EIA 608</w:t>
            </w:r>
          </w:p>
        </w:tc>
      </w:tr>
    </w:tbl>
    <w:p w14:paraId="00D34E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EE9F6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02F9E99">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71599A1">
      <w:pPr>
        <w:rPr>
          <w:rFonts w:hint="default" w:ascii="Verdana" w:hAnsi="Verdana" w:cs="Verdana"/>
          <w:b w:val="0"/>
          <w:i w:val="0"/>
          <w:strike w:val="0"/>
          <w:color w:val="000000"/>
          <w:sz w:val="28"/>
          <w:lang w:val="en-US" w:eastAsia="zh-CN"/>
        </w:rPr>
      </w:pPr>
    </w:p>
    <w:p w14:paraId="3D04F36A">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4EF9DB59">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DD1B7B4">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4FC0AE9D">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5975E6"/>
    <w:rsid w:val="033D434A"/>
    <w:rsid w:val="0A680B1B"/>
    <w:rsid w:val="0E714EC9"/>
    <w:rsid w:val="0FC87CEA"/>
    <w:rsid w:val="101C4557"/>
    <w:rsid w:val="12927607"/>
    <w:rsid w:val="134158A3"/>
    <w:rsid w:val="13610B22"/>
    <w:rsid w:val="15C25510"/>
    <w:rsid w:val="173E042A"/>
    <w:rsid w:val="18AE427D"/>
    <w:rsid w:val="18E81EA3"/>
    <w:rsid w:val="1B974A15"/>
    <w:rsid w:val="1CDC4CA0"/>
    <w:rsid w:val="1FCC39C5"/>
    <w:rsid w:val="20D96A6F"/>
    <w:rsid w:val="20F61905"/>
    <w:rsid w:val="2199682E"/>
    <w:rsid w:val="239E3C7B"/>
    <w:rsid w:val="24116823"/>
    <w:rsid w:val="27B55639"/>
    <w:rsid w:val="2A752F8B"/>
    <w:rsid w:val="2ADF2C2D"/>
    <w:rsid w:val="2C665CEA"/>
    <w:rsid w:val="2E0F6BE8"/>
    <w:rsid w:val="314F3E41"/>
    <w:rsid w:val="35764251"/>
    <w:rsid w:val="3B533162"/>
    <w:rsid w:val="45872050"/>
    <w:rsid w:val="478E224E"/>
    <w:rsid w:val="485E04E5"/>
    <w:rsid w:val="487316FE"/>
    <w:rsid w:val="49B75FAC"/>
    <w:rsid w:val="4E4A4BF6"/>
    <w:rsid w:val="4F8D25ED"/>
    <w:rsid w:val="51AD130D"/>
    <w:rsid w:val="528A1AC6"/>
    <w:rsid w:val="540A3FAB"/>
    <w:rsid w:val="562E484B"/>
    <w:rsid w:val="56834992"/>
    <w:rsid w:val="5930748A"/>
    <w:rsid w:val="59933671"/>
    <w:rsid w:val="5AA83521"/>
    <w:rsid w:val="5EEA5249"/>
    <w:rsid w:val="609213A6"/>
    <w:rsid w:val="61BA6334"/>
    <w:rsid w:val="63C27F07"/>
    <w:rsid w:val="68AD6386"/>
    <w:rsid w:val="6D7A6503"/>
    <w:rsid w:val="70757613"/>
    <w:rsid w:val="70B756B4"/>
    <w:rsid w:val="72F202B1"/>
    <w:rsid w:val="73270F88"/>
    <w:rsid w:val="74455F31"/>
    <w:rsid w:val="7540100C"/>
    <w:rsid w:val="77935A18"/>
    <w:rsid w:val="7B8E7427"/>
    <w:rsid w:val="7E2564A1"/>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11B%20V2/3EEECN_20230220144621.png" TargetMode="External"/><Relationship Id="rId8" Type="http://schemas.openxmlformats.org/officeDocument/2006/relationships/image" Target="media/image3.jpeg"/><Relationship Id="rId7" Type="http://schemas.openxmlformats.org/officeDocument/2006/relationships/hyperlink" Target="https://english.dsdvb.com/Upload/images/Product/Encoder/NDS3211B%20MPEG-2,%20H.264%20HD%20Encoder/3EEECN_20190524063347.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93</Words>
  <Characters>516</Characters>
  <Lines>4</Lines>
  <Paragraphs>1</Paragraphs>
  <TotalTime>28</TotalTime>
  <ScaleCrop>false</ScaleCrop>
  <LinksUpToDate>false</LinksUpToDate>
  <CharactersWithSpaces>608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2025-08-20T02:12:58Z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