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3D3D2F">
      <w:pPr>
        <w:pStyle w:val="6"/>
        <w:widowControl/>
        <w:spacing w:beforeAutospacing="0" w:afterAutospacing="0" w:line="324" w:lineRule="atLeast"/>
        <w:jc w:val="center"/>
        <w:rPr>
          <w:rFonts w:ascii="Verdana" w:hAnsi="Verdana" w:cs="Verdana"/>
          <w:b/>
          <w:color w:val="000000"/>
          <w:sz w:val="28"/>
        </w:rPr>
      </w:pPr>
      <w:bookmarkStart w:id="0" w:name="_GoBack"/>
      <w:bookmarkEnd w:id="0"/>
      <w:r>
        <w:rPr>
          <w:rFonts w:hint="eastAsia" w:ascii="Verdana" w:hAnsi="Verdana" w:cs="Verdana"/>
          <w:b/>
          <w:i w:val="0"/>
          <w:strike w:val="0"/>
          <w:color w:val="000000"/>
          <w:sz w:val="28"/>
          <w:lang w:eastAsia="zh-CN"/>
        </w:rPr>
        <w:t>FMUSER FUQ-4347X/FUQ-4355X HDMI Encoder 16-24 HDMI Inputs 1 MPTS-8 SPTS Outputs MPEG4 AVC-H264 Encoding IP Streaming for Digital Headends Broadcasting</w:t>
      </w:r>
    </w:p>
    <w:p w14:paraId="51631578">
      <w:pPr>
        <w:pStyle w:val="6"/>
        <w:widowControl/>
        <w:spacing w:beforeAutospacing="0" w:afterAutospacing="0" w:line="324" w:lineRule="atLeast"/>
        <w:jc w:val="left"/>
      </w:pPr>
      <w:r>
        <w:rPr>
          <w:rFonts w:ascii="Verdana" w:hAnsi="Verdana" w:cs="Verdana"/>
          <w:color w:val="000000"/>
          <w:sz w:val="28"/>
        </w:rPr>
        <w:drawing>
          <wp:inline distT="0" distB="0" distL="114300" distR="114300">
            <wp:extent cx="6181725" cy="3400425"/>
            <wp:effectExtent l="0" t="0" r="0" b="0"/>
            <wp:docPr id="1" name="图片 1" descr="3EEECN_20210112015012"/>
            <wp:cNvGraphicFramePr/>
            <a:graphic xmlns:a="http://schemas.openxmlformats.org/drawingml/2006/main">
              <a:graphicData uri="http://schemas.openxmlformats.org/drawingml/2006/picture">
                <pic:pic xmlns:pic="http://schemas.openxmlformats.org/drawingml/2006/picture">
                  <pic:nvPicPr>
                    <pic:cNvPr id="1" name="图片 1" descr="3EEECN_20210112015012"/>
                    <pic:cNvPicPr/>
                  </pic:nvPicPr>
                  <pic:blipFill>
                    <a:blip r:embed="rId6"/>
                    <a:stretch>
                      <a:fillRect/>
                    </a:stretch>
                  </pic:blipFill>
                  <pic:spPr>
                    <a:xfrm>
                      <a:off x="0" y="0"/>
                      <a:ext cx="6181725" cy="3400425"/>
                    </a:xfrm>
                    <a:prstGeom prst="rect">
                      <a:avLst/>
                    </a:prstGeom>
                  </pic:spPr>
                </pic:pic>
              </a:graphicData>
            </a:graphic>
          </wp:inline>
        </w:drawing>
      </w:r>
      <w:r>
        <w:rPr>
          <w:rStyle w:val="10"/>
          <w:rFonts w:ascii="Verdana" w:hAnsi="Verdana" w:cs="Verdana"/>
          <w:color w:val="333333"/>
          <w:sz w:val="18"/>
          <w:szCs w:val="18"/>
          <w:shd w:val="clear" w:color="auto" w:fill="FEFCFD"/>
        </w:rPr>
        <w:t>Product Overview</w:t>
      </w:r>
    </w:p>
    <w:p w14:paraId="738718CC">
      <w:pPr>
        <w:pStyle w:val="6"/>
        <w:widowControl/>
        <w:spacing w:beforeAutospacing="0" w:afterAutospacing="0" w:line="324" w:lineRule="atLeast"/>
        <w:ind w:left="424"/>
        <w:jc w:val="both"/>
      </w:pPr>
      <w:r>
        <w:rPr>
          <w:rFonts w:hint="eastAsia" w:ascii="Verdana" w:hAnsi="Verdana" w:cs="Verdana"/>
          <w:color w:val="333333"/>
          <w:sz w:val="18"/>
          <w:szCs w:val="18"/>
          <w:shd w:val="clear" w:color="auto" w:fill="FEFCFD"/>
          <w:lang w:eastAsia="zh-CN"/>
        </w:rPr>
        <w:t>The FMUSER FUQ-4347X/FUQ-4355X encoder provides high-density HDMI encoding with 16 or 24 HDMI inputs and outputs 1 MPTS plus 8 SPTS per module. It encodes video using MPEG4 AVC/H.264 and audio with MPEG1 Layer II, LC-AAC, or HE-AAC, supporting AC3 Pass Through. The device offers web-based management for control and customization, including QR code/LOGO/caption insertion and "Null PKT Filter" support. Ideal for digital headends, cable TV systems, and broadcasting applications.</w:t>
      </w:r>
      <w:r>
        <w:rPr>
          <w:rFonts w:ascii="Verdana" w:hAnsi="Verdana" w:cs="Verdana"/>
          <w:color w:val="333333"/>
          <w:sz w:val="18"/>
          <w:szCs w:val="18"/>
          <w:shd w:val="clear" w:color="auto" w:fill="FEFCFD"/>
        </w:rPr>
        <w:t> </w:t>
      </w:r>
    </w:p>
    <w:p w14:paraId="661CFE9B">
      <w:pPr>
        <w:pStyle w:val="6"/>
        <w:widowControl/>
        <w:spacing w:beforeAutospacing="0" w:afterAutospacing="0" w:line="324" w:lineRule="atLeast"/>
      </w:pPr>
      <w:r>
        <w:rPr>
          <w:rStyle w:val="10"/>
          <w:rFonts w:hint="eastAsia" w:ascii="Verdana" w:hAnsi="Verdana" w:cs="Verdana"/>
          <w:color w:val="333333"/>
          <w:sz w:val="18"/>
          <w:szCs w:val="18"/>
          <w:shd w:val="clear" w:color="auto" w:fill="FEFCFD"/>
          <w:lang w:eastAsia="zh-CN"/>
        </w:rPr>
        <w:t xml:space="preserve">Key feature  </w:t>
      </w:r>
    </w:p>
    <w:p w14:paraId="6E70C845">
      <w:pPr>
        <w:widowControl/>
        <w:numPr>
          <w:ilvl w:val="0"/>
          <w:numId w:val="1"/>
        </w:numPr>
        <w:spacing w:line="324" w:lineRule="atLeast"/>
        <w:ind w:left="600"/>
        <w:rPr>
          <w:rFonts w:hint="eastAsia" w:ascii="Verdana" w:hAnsi="Verdana" w:cs="Verdana" w:eastAsiaTheme="minorEastAsia"/>
          <w:color w:val="333333"/>
          <w:kern w:val="0"/>
          <w:sz w:val="18"/>
          <w:szCs w:val="18"/>
          <w:shd w:val="clear" w:color="auto" w:fill="FEFCFD"/>
          <w:lang w:val="en-US" w:eastAsia="zh-CN" w:bidi="ar-SA"/>
        </w:rPr>
      </w:pPr>
      <w:r>
        <w:rPr>
          <w:rFonts w:hint="eastAsia" w:ascii="Verdana" w:hAnsi="Verdana" w:cs="Verdana" w:eastAsiaTheme="minorEastAsia"/>
          <w:color w:val="333333"/>
          <w:kern w:val="0"/>
          <w:sz w:val="18"/>
          <w:szCs w:val="18"/>
          <w:shd w:val="clear" w:color="auto" w:fill="FEFCFD"/>
          <w:lang w:val="en-US" w:eastAsia="zh-CN" w:bidi="ar-SA"/>
        </w:rPr>
        <w:t xml:space="preserve">- Supports 16 or 24 HDMI inputs with SPTS/MPTS output per module.  </w:t>
      </w:r>
    </w:p>
    <w:p w14:paraId="1DFE6165">
      <w:pPr>
        <w:widowControl/>
        <w:numPr>
          <w:ilvl w:val="0"/>
          <w:numId w:val="1"/>
        </w:numPr>
        <w:spacing w:line="324" w:lineRule="atLeast"/>
        <w:ind w:left="600"/>
        <w:rPr>
          <w:rFonts w:hint="eastAsia" w:ascii="Verdana" w:hAnsi="Verdana" w:cs="Verdana" w:eastAsiaTheme="minorEastAsia"/>
          <w:color w:val="333333"/>
          <w:kern w:val="0"/>
          <w:sz w:val="18"/>
          <w:szCs w:val="18"/>
          <w:shd w:val="clear" w:color="auto" w:fill="FEFCFD"/>
          <w:lang w:val="en-US" w:eastAsia="zh-CN" w:bidi="ar-SA"/>
        </w:rPr>
      </w:pPr>
      <w:r>
        <w:rPr>
          <w:rFonts w:hint="eastAsia" w:ascii="Verdana" w:hAnsi="Verdana" w:cs="Verdana" w:eastAsiaTheme="minorEastAsia"/>
          <w:color w:val="333333"/>
          <w:kern w:val="0"/>
          <w:sz w:val="18"/>
          <w:szCs w:val="18"/>
          <w:shd w:val="clear" w:color="auto" w:fill="FEFCFD"/>
          <w:lang w:val="en-US" w:eastAsia="zh-CN" w:bidi="ar-SA"/>
        </w:rPr>
        <w:t xml:space="preserve">- Encodes video in MPEG4 AVC/H.264 and audio in MPEG1 Layer II, LC-AAC, HE-AAC with AC3 Pass Through.  </w:t>
      </w:r>
    </w:p>
    <w:p w14:paraId="4B04611D">
      <w:pPr>
        <w:widowControl/>
        <w:numPr>
          <w:ilvl w:val="0"/>
          <w:numId w:val="1"/>
        </w:numPr>
        <w:spacing w:line="324" w:lineRule="atLeast"/>
        <w:ind w:left="600"/>
        <w:rPr>
          <w:rFonts w:hint="eastAsia" w:ascii="Verdana" w:hAnsi="Verdana" w:cs="Verdana" w:eastAsiaTheme="minorEastAsia"/>
          <w:color w:val="333333"/>
          <w:kern w:val="0"/>
          <w:sz w:val="18"/>
          <w:szCs w:val="18"/>
          <w:shd w:val="clear" w:color="auto" w:fill="FEFCFD"/>
          <w:lang w:val="en-US" w:eastAsia="zh-CN" w:bidi="ar-SA"/>
        </w:rPr>
      </w:pPr>
      <w:r>
        <w:rPr>
          <w:rFonts w:hint="eastAsia" w:ascii="Verdana" w:hAnsi="Verdana" w:cs="Verdana" w:eastAsiaTheme="minorEastAsia"/>
          <w:color w:val="333333"/>
          <w:kern w:val="0"/>
          <w:sz w:val="18"/>
          <w:szCs w:val="18"/>
          <w:shd w:val="clear" w:color="auto" w:fill="FEFCFD"/>
          <w:lang w:val="en-US" w:eastAsia="zh-CN" w:bidi="ar-SA"/>
        </w:rPr>
        <w:t xml:space="preserve">- Streams via UDP/RTP/RTSP protocols over GE DATA port.  </w:t>
      </w:r>
    </w:p>
    <w:p w14:paraId="62CA1BCE">
      <w:pPr>
        <w:widowControl/>
        <w:numPr>
          <w:ilvl w:val="0"/>
          <w:numId w:val="1"/>
        </w:numPr>
        <w:spacing w:line="324" w:lineRule="atLeast"/>
        <w:ind w:left="600"/>
        <w:rPr>
          <w:rFonts w:hint="eastAsia" w:ascii="Verdana" w:hAnsi="Verdana" w:cs="Verdana" w:eastAsiaTheme="minorEastAsia"/>
          <w:color w:val="333333"/>
          <w:kern w:val="0"/>
          <w:sz w:val="18"/>
          <w:szCs w:val="18"/>
          <w:shd w:val="clear" w:color="auto" w:fill="FEFCFD"/>
          <w:lang w:val="en-US" w:eastAsia="zh-CN" w:bidi="ar-SA"/>
        </w:rPr>
      </w:pPr>
      <w:r>
        <w:rPr>
          <w:rFonts w:hint="eastAsia" w:ascii="Verdana" w:hAnsi="Verdana" w:cs="Verdana" w:eastAsiaTheme="minorEastAsia"/>
          <w:color w:val="333333"/>
          <w:kern w:val="0"/>
          <w:sz w:val="18"/>
          <w:szCs w:val="18"/>
          <w:shd w:val="clear" w:color="auto" w:fill="FEFCFD"/>
          <w:lang w:val="en-US" w:eastAsia="zh-CN" w:bidi="ar-SA"/>
        </w:rPr>
        <w:t xml:space="preserve">- Features web management for updates, QR code/LOGO/caption insertion, and "Null PKT Filter" support.  </w:t>
      </w:r>
    </w:p>
    <w:p w14:paraId="1DCD0017">
      <w:pPr>
        <w:widowControl/>
        <w:numPr>
          <w:ilvl w:val="0"/>
          <w:numId w:val="1"/>
        </w:numPr>
        <w:spacing w:line="324" w:lineRule="atLeast"/>
        <w:ind w:left="600"/>
        <w:rPr>
          <w:rFonts w:hint="eastAsia" w:ascii="Verdana" w:hAnsi="Verdana" w:cs="Verdana" w:eastAsiaTheme="minorEastAsia"/>
          <w:color w:val="333333"/>
          <w:kern w:val="0"/>
          <w:sz w:val="18"/>
          <w:szCs w:val="18"/>
          <w:shd w:val="clear" w:color="auto" w:fill="FEFCFD"/>
          <w:lang w:val="en-US" w:eastAsia="zh-CN" w:bidi="ar-SA"/>
        </w:rPr>
      </w:pPr>
      <w:r>
        <w:rPr>
          <w:rFonts w:hint="eastAsia" w:ascii="Verdana" w:hAnsi="Verdana" w:cs="Verdana" w:eastAsiaTheme="minorEastAsia"/>
          <w:color w:val="333333"/>
          <w:kern w:val="0"/>
          <w:sz w:val="18"/>
          <w:szCs w:val="18"/>
          <w:shd w:val="clear" w:color="auto" w:fill="FEFCFD"/>
          <w:lang w:val="en-US" w:eastAsia="zh-CN" w:bidi="ar-SA"/>
        </w:rPr>
        <w:t>MPEG4 AVC/H.264 video encoding format</w:t>
      </w:r>
    </w:p>
    <w:p w14:paraId="6B5E63FC">
      <w:pPr>
        <w:widowControl/>
        <w:numPr>
          <w:ilvl w:val="0"/>
          <w:numId w:val="1"/>
        </w:numPr>
        <w:spacing w:line="324" w:lineRule="atLeast"/>
        <w:ind w:left="600"/>
        <w:rPr>
          <w:rFonts w:hint="eastAsia" w:ascii="Verdana" w:hAnsi="Verdana" w:cs="Verdana" w:eastAsiaTheme="minorEastAsia"/>
          <w:color w:val="333333"/>
          <w:kern w:val="0"/>
          <w:sz w:val="18"/>
          <w:szCs w:val="18"/>
          <w:shd w:val="clear" w:color="auto" w:fill="FEFCFD"/>
          <w:lang w:val="en-US" w:eastAsia="zh-CN" w:bidi="ar-SA"/>
        </w:rPr>
      </w:pPr>
      <w:r>
        <w:rPr>
          <w:rFonts w:hint="eastAsia" w:ascii="Verdana" w:hAnsi="Verdana" w:cs="Verdana" w:eastAsiaTheme="minorEastAsia"/>
          <w:color w:val="333333"/>
          <w:kern w:val="0"/>
          <w:sz w:val="18"/>
          <w:szCs w:val="18"/>
          <w:shd w:val="clear" w:color="auto" w:fill="FEFCFD"/>
          <w:lang w:val="en-US" w:eastAsia="zh-CN" w:bidi="ar-SA"/>
        </w:rPr>
        <w:t>MPEG1 Layer II, LC-AAC，HE-AAC audio encoding format and AC3 Pass Through, and audio gain adjustment</w:t>
      </w:r>
    </w:p>
    <w:p w14:paraId="69A14B85">
      <w:pPr>
        <w:widowControl/>
        <w:numPr>
          <w:ilvl w:val="0"/>
          <w:numId w:val="1"/>
        </w:numPr>
        <w:spacing w:line="324" w:lineRule="atLeast"/>
        <w:ind w:left="600"/>
        <w:rPr>
          <w:rFonts w:hint="eastAsia" w:ascii="Verdana" w:hAnsi="Verdana" w:cs="Verdana" w:eastAsiaTheme="minorEastAsia"/>
          <w:color w:val="333333"/>
          <w:kern w:val="0"/>
          <w:sz w:val="18"/>
          <w:szCs w:val="18"/>
          <w:shd w:val="clear" w:color="auto" w:fill="FEFCFD"/>
          <w:lang w:val="en-US" w:eastAsia="zh-CN" w:bidi="ar-SA"/>
        </w:rPr>
      </w:pPr>
      <w:r>
        <w:rPr>
          <w:rFonts w:hint="eastAsia" w:ascii="Verdana" w:hAnsi="Verdana" w:cs="Verdana" w:eastAsiaTheme="minorEastAsia"/>
          <w:color w:val="333333"/>
          <w:kern w:val="0"/>
          <w:sz w:val="18"/>
          <w:szCs w:val="18"/>
          <w:shd w:val="clear" w:color="auto" w:fill="FEFCFD"/>
          <w:lang w:val="en-US" w:eastAsia="zh-CN" w:bidi="ar-SA"/>
        </w:rPr>
        <w:t>IP output over UDP and RTP/RTSP protocol</w:t>
      </w:r>
    </w:p>
    <w:p w14:paraId="135FC15D">
      <w:pPr>
        <w:widowControl/>
        <w:numPr>
          <w:ilvl w:val="0"/>
          <w:numId w:val="1"/>
        </w:numPr>
        <w:spacing w:line="324" w:lineRule="atLeast"/>
        <w:ind w:left="600"/>
        <w:rPr>
          <w:rFonts w:hint="eastAsia" w:ascii="Verdana" w:hAnsi="Verdana" w:cs="Verdana" w:eastAsiaTheme="minorEastAsia"/>
          <w:color w:val="333333"/>
          <w:kern w:val="0"/>
          <w:sz w:val="18"/>
          <w:szCs w:val="18"/>
          <w:shd w:val="clear" w:color="auto" w:fill="FEFCFD"/>
          <w:lang w:val="en-US" w:eastAsia="zh-CN" w:bidi="ar-SA"/>
        </w:rPr>
      </w:pPr>
      <w:r>
        <w:rPr>
          <w:rFonts w:hint="eastAsia" w:ascii="Verdana" w:hAnsi="Verdana" w:cs="Verdana" w:eastAsiaTheme="minorEastAsia"/>
          <w:color w:val="333333"/>
          <w:kern w:val="0"/>
          <w:sz w:val="18"/>
          <w:szCs w:val="18"/>
          <w:shd w:val="clear" w:color="auto" w:fill="FEFCFD"/>
          <w:lang w:val="en-US" w:eastAsia="zh-CN" w:bidi="ar-SA"/>
        </w:rPr>
        <w:t>Support QR code, LOGO, caption insertion</w:t>
      </w:r>
    </w:p>
    <w:p w14:paraId="73565D51">
      <w:pPr>
        <w:widowControl/>
        <w:numPr>
          <w:ilvl w:val="0"/>
          <w:numId w:val="1"/>
        </w:numPr>
        <w:spacing w:line="324" w:lineRule="atLeast"/>
        <w:ind w:left="600"/>
        <w:rPr>
          <w:rFonts w:hint="eastAsia" w:ascii="Verdana" w:hAnsi="Verdana" w:cs="Verdana" w:eastAsiaTheme="minorEastAsia"/>
          <w:color w:val="333333"/>
          <w:kern w:val="0"/>
          <w:sz w:val="18"/>
          <w:szCs w:val="18"/>
          <w:shd w:val="clear" w:color="auto" w:fill="FEFCFD"/>
          <w:lang w:val="en-US" w:eastAsia="zh-CN" w:bidi="ar-SA"/>
        </w:rPr>
      </w:pPr>
      <w:r>
        <w:rPr>
          <w:rFonts w:hint="eastAsia" w:ascii="Verdana" w:hAnsi="Verdana" w:cs="Verdana" w:eastAsiaTheme="minorEastAsia"/>
          <w:color w:val="333333"/>
          <w:kern w:val="0"/>
          <w:sz w:val="18"/>
          <w:szCs w:val="18"/>
          <w:shd w:val="clear" w:color="auto" w:fill="FEFCFD"/>
          <w:lang w:val="en-US" w:eastAsia="zh-CN" w:bidi="ar-SA"/>
        </w:rPr>
        <w:t>Support “Null PKT Filter” function</w:t>
      </w:r>
    </w:p>
    <w:p w14:paraId="645CCBF1">
      <w:pPr>
        <w:widowControl/>
        <w:numPr>
          <w:ilvl w:val="0"/>
          <w:numId w:val="1"/>
        </w:numPr>
        <w:spacing w:line="324" w:lineRule="atLeast"/>
        <w:ind w:left="600"/>
        <w:rPr>
          <w:rFonts w:hint="eastAsia" w:ascii="Verdana" w:hAnsi="Verdana" w:cs="Verdana" w:eastAsiaTheme="minorEastAsia"/>
          <w:color w:val="333333"/>
          <w:kern w:val="0"/>
          <w:sz w:val="18"/>
          <w:szCs w:val="18"/>
          <w:shd w:val="clear" w:color="auto" w:fill="FEFCFD"/>
          <w:lang w:val="en-US" w:eastAsia="zh-CN" w:bidi="ar-SA"/>
        </w:rPr>
      </w:pPr>
      <w:r>
        <w:rPr>
          <w:rFonts w:hint="eastAsia" w:ascii="Verdana" w:hAnsi="Verdana" w:cs="Verdana" w:eastAsiaTheme="minorEastAsia"/>
          <w:color w:val="333333"/>
          <w:kern w:val="0"/>
          <w:sz w:val="18"/>
          <w:szCs w:val="18"/>
          <w:shd w:val="clear" w:color="auto" w:fill="FEFCFD"/>
          <w:lang w:val="en-US" w:eastAsia="zh-CN" w:bidi="ar-SA"/>
        </w:rPr>
        <w:t>Control via web management, and easy updates via web</w:t>
      </w:r>
    </w:p>
    <w:p w14:paraId="44E59A64">
      <w:pPr>
        <w:pStyle w:val="6"/>
        <w:widowControl/>
        <w:spacing w:beforeAutospacing="0" w:afterAutospacing="0" w:line="324" w:lineRule="atLeast"/>
      </w:pPr>
      <w:r>
        <w:rPr>
          <w:rFonts w:ascii="Verdana" w:hAnsi="Verdana" w:cs="Verdana"/>
          <w:color w:val="333333"/>
          <w:sz w:val="18"/>
          <w:szCs w:val="18"/>
          <w:shd w:val="clear" w:color="auto" w:fill="FEFCFD"/>
        </w:rPr>
        <w:t> </w:t>
      </w:r>
    </w:p>
    <w:p w14:paraId="4E451168">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 (Each Encoder Module)</w:t>
      </w:r>
    </w:p>
    <w:p w14:paraId="09EC0377">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5535" cy="3369945"/>
            <wp:effectExtent l="0" t="0" r="5715" b="190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5535" cy="3369945"/>
                    </a:xfrm>
                    <a:prstGeom prst="rect">
                      <a:avLst/>
                    </a:prstGeom>
                    <a:noFill/>
                    <a:ln w="9525">
                      <a:noFill/>
                    </a:ln>
                  </pic:spPr>
                </pic:pic>
              </a:graphicData>
            </a:graphic>
          </wp:inline>
        </w:drawing>
      </w:r>
    </w:p>
    <w:p w14:paraId="3B46B6B9">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7EC2D6E2">
      <w:pPr>
        <w:pStyle w:val="6"/>
        <w:widowControl/>
        <w:spacing w:beforeAutospacing="0" w:afterAutospacing="0" w:line="324" w:lineRule="atLeast"/>
      </w:pPr>
      <w:r>
        <w:rPr>
          <w:rStyle w:val="10"/>
          <w:rFonts w:ascii="Verdana" w:hAnsi="Verdana" w:cs="Verdana"/>
          <w:color w:val="333333"/>
          <w:sz w:val="18"/>
          <w:szCs w:val="18"/>
          <w:shd w:val="clear" w:color="auto" w:fill="FEFCFD"/>
        </w:rPr>
        <w:t>Technical specification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563"/>
        <w:gridCol w:w="1330"/>
        <w:gridCol w:w="791"/>
        <w:gridCol w:w="248"/>
        <w:gridCol w:w="5818"/>
      </w:tblGrid>
      <w:tr w14:paraId="3B0FAE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shd w:val="clear" w:color="auto" w:fill="auto"/>
            <w:vAlign w:val="center"/>
          </w:tcPr>
          <w:p w14:paraId="11357CE9">
            <w:pPr>
              <w:pStyle w:val="6"/>
              <w:widowControl/>
              <w:spacing w:beforeAutospacing="0" w:afterAutospacing="0" w:line="324" w:lineRule="atLeast"/>
            </w:pPr>
            <w:r>
              <w:rPr>
                <w:rStyle w:val="10"/>
              </w:rPr>
              <w:t>Input</w:t>
            </w:r>
          </w:p>
        </w:tc>
        <w:tc>
          <w:tcPr>
            <w:tcW w:w="7665" w:type="dxa"/>
            <w:gridSpan w:val="4"/>
            <w:shd w:val="clear" w:color="auto" w:fill="auto"/>
            <w:vAlign w:val="center"/>
          </w:tcPr>
          <w:p w14:paraId="4DF35878">
            <w:pPr>
              <w:pStyle w:val="6"/>
              <w:widowControl/>
              <w:spacing w:beforeAutospacing="0" w:afterAutospacing="0" w:line="324" w:lineRule="atLeast"/>
            </w:pPr>
            <w:r>
              <w:t>16 HDMI inputs (</w:t>
            </w:r>
            <w:r>
              <w:rPr>
                <w:rFonts w:hint="eastAsia"/>
              </w:rPr>
              <w:t>FU-4347</w:t>
            </w:r>
            <w:r>
              <w:t>S); 24 HDMI inputs (FU-4355S)</w:t>
            </w:r>
          </w:p>
        </w:tc>
      </w:tr>
      <w:tr w14:paraId="2DBA13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restart"/>
            <w:shd w:val="clear" w:color="auto" w:fill="auto"/>
            <w:vAlign w:val="center"/>
          </w:tcPr>
          <w:p w14:paraId="44B77015">
            <w:pPr>
              <w:pStyle w:val="6"/>
              <w:widowControl/>
              <w:spacing w:beforeAutospacing="0" w:afterAutospacing="0" w:line="324" w:lineRule="atLeast"/>
            </w:pPr>
            <w:r>
              <w:rPr>
                <w:rStyle w:val="10"/>
              </w:rPr>
              <w:t>Video</w:t>
            </w:r>
          </w:p>
        </w:tc>
        <w:tc>
          <w:tcPr>
            <w:tcW w:w="1425" w:type="dxa"/>
            <w:vMerge w:val="restart"/>
            <w:shd w:val="clear" w:color="auto" w:fill="auto"/>
            <w:vAlign w:val="center"/>
          </w:tcPr>
          <w:p w14:paraId="5781F09B">
            <w:pPr>
              <w:pStyle w:val="6"/>
              <w:widowControl/>
              <w:spacing w:beforeAutospacing="0" w:afterAutospacing="0" w:line="324" w:lineRule="atLeast"/>
            </w:pPr>
            <w:r>
              <w:t>Resolution</w:t>
            </w:r>
          </w:p>
        </w:tc>
        <w:tc>
          <w:tcPr>
            <w:tcW w:w="1410" w:type="dxa"/>
            <w:gridSpan w:val="2"/>
            <w:shd w:val="clear" w:color="auto" w:fill="auto"/>
            <w:vAlign w:val="center"/>
          </w:tcPr>
          <w:p w14:paraId="186E8A2E">
            <w:pPr>
              <w:pStyle w:val="6"/>
              <w:widowControl/>
              <w:spacing w:beforeAutospacing="0" w:afterAutospacing="0" w:line="324" w:lineRule="atLeast"/>
            </w:pPr>
            <w:r>
              <w:t>input</w:t>
            </w:r>
          </w:p>
        </w:tc>
        <w:tc>
          <w:tcPr>
            <w:tcW w:w="4815" w:type="dxa"/>
            <w:shd w:val="clear" w:color="auto" w:fill="auto"/>
            <w:vAlign w:val="center"/>
          </w:tcPr>
          <w:p w14:paraId="7B0085F8">
            <w:pPr>
              <w:pStyle w:val="6"/>
              <w:widowControl/>
              <w:spacing w:beforeAutospacing="0" w:afterAutospacing="0" w:line="324" w:lineRule="atLeast"/>
            </w:pPr>
            <w:r>
              <w:t>1920×1080_60P, 1920×1080_60i,</w:t>
            </w:r>
          </w:p>
          <w:p w14:paraId="31418CBB">
            <w:pPr>
              <w:pStyle w:val="6"/>
              <w:widowControl/>
              <w:spacing w:beforeAutospacing="0" w:afterAutospacing="0" w:line="324" w:lineRule="atLeast"/>
            </w:pPr>
            <w:r>
              <w:t>1920×1080_50P, 1920×1080_50i,</w:t>
            </w:r>
          </w:p>
          <w:p w14:paraId="2B5E47D9">
            <w:pPr>
              <w:pStyle w:val="6"/>
              <w:widowControl/>
              <w:spacing w:beforeAutospacing="0" w:afterAutospacing="0" w:line="324" w:lineRule="atLeast"/>
            </w:pPr>
            <w:r>
              <w:t>1280×720_60P, 1280×720_50P, </w:t>
            </w:r>
          </w:p>
          <w:p w14:paraId="289489DB">
            <w:pPr>
              <w:pStyle w:val="6"/>
              <w:widowControl/>
              <w:spacing w:beforeAutospacing="0" w:afterAutospacing="0" w:line="324" w:lineRule="atLeast"/>
            </w:pPr>
            <w:r>
              <w:t>720 x 576_50i,720 x 480_60i</w:t>
            </w:r>
          </w:p>
        </w:tc>
      </w:tr>
      <w:tr w14:paraId="6087F8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50041401">
            <w:pPr>
              <w:jc w:val="left"/>
              <w:rPr>
                <w:rFonts w:ascii="宋体"/>
                <w:sz w:val="24"/>
                <w:szCs w:val="24"/>
              </w:rPr>
            </w:pPr>
          </w:p>
        </w:tc>
        <w:tc>
          <w:tcPr>
            <w:tcW w:w="1425" w:type="dxa"/>
            <w:vMerge w:val="continue"/>
            <w:shd w:val="clear" w:color="auto" w:fill="auto"/>
            <w:vAlign w:val="center"/>
          </w:tcPr>
          <w:p w14:paraId="19FC7F3E">
            <w:pPr>
              <w:jc w:val="left"/>
              <w:rPr>
                <w:rFonts w:ascii="宋体"/>
                <w:sz w:val="24"/>
                <w:szCs w:val="24"/>
              </w:rPr>
            </w:pPr>
          </w:p>
        </w:tc>
        <w:tc>
          <w:tcPr>
            <w:tcW w:w="1410" w:type="dxa"/>
            <w:gridSpan w:val="2"/>
            <w:shd w:val="clear" w:color="auto" w:fill="auto"/>
            <w:vAlign w:val="center"/>
          </w:tcPr>
          <w:p w14:paraId="6FC81C75">
            <w:pPr>
              <w:pStyle w:val="6"/>
              <w:widowControl/>
              <w:spacing w:beforeAutospacing="0" w:afterAutospacing="0" w:line="324" w:lineRule="atLeast"/>
            </w:pPr>
            <w:r>
              <w:t>Output</w:t>
            </w:r>
          </w:p>
        </w:tc>
        <w:tc>
          <w:tcPr>
            <w:tcW w:w="4815" w:type="dxa"/>
            <w:shd w:val="clear" w:color="auto" w:fill="auto"/>
            <w:vAlign w:val="center"/>
          </w:tcPr>
          <w:p w14:paraId="268D19C6">
            <w:pPr>
              <w:pStyle w:val="6"/>
              <w:widowControl/>
              <w:spacing w:beforeAutospacing="0" w:afterAutospacing="0" w:line="324" w:lineRule="atLeast"/>
            </w:pPr>
            <w:r>
              <w:t>1920×1080_30P, 1920×1080_25P,</w:t>
            </w:r>
          </w:p>
          <w:p w14:paraId="114C8875">
            <w:pPr>
              <w:pStyle w:val="6"/>
              <w:widowControl/>
              <w:spacing w:beforeAutospacing="0" w:afterAutospacing="0" w:line="324" w:lineRule="atLeast"/>
            </w:pPr>
            <w:r>
              <w:t>1280×720_30P, 1280×720_25P, </w:t>
            </w:r>
          </w:p>
          <w:p w14:paraId="28FBCF6D">
            <w:pPr>
              <w:pStyle w:val="6"/>
              <w:widowControl/>
              <w:spacing w:beforeAutospacing="0" w:afterAutospacing="0" w:line="324" w:lineRule="atLeast"/>
            </w:pPr>
            <w:r>
              <w:t>720 x 576_25P, 720 x 480_30P</w:t>
            </w:r>
          </w:p>
        </w:tc>
      </w:tr>
      <w:tr w14:paraId="223DC8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1B445C6E">
            <w:pPr>
              <w:jc w:val="left"/>
              <w:rPr>
                <w:rFonts w:ascii="宋体"/>
                <w:sz w:val="24"/>
                <w:szCs w:val="24"/>
              </w:rPr>
            </w:pPr>
          </w:p>
        </w:tc>
        <w:tc>
          <w:tcPr>
            <w:tcW w:w="2835" w:type="dxa"/>
            <w:gridSpan w:val="3"/>
            <w:shd w:val="clear" w:color="auto" w:fill="auto"/>
            <w:vAlign w:val="center"/>
          </w:tcPr>
          <w:p w14:paraId="0BCA48C3">
            <w:pPr>
              <w:pStyle w:val="6"/>
              <w:widowControl/>
              <w:spacing w:beforeAutospacing="0" w:afterAutospacing="0" w:line="324" w:lineRule="atLeast"/>
            </w:pPr>
            <w:r>
              <w:t>Encoding</w:t>
            </w:r>
          </w:p>
        </w:tc>
        <w:tc>
          <w:tcPr>
            <w:tcW w:w="4815" w:type="dxa"/>
            <w:shd w:val="clear" w:color="auto" w:fill="auto"/>
            <w:vAlign w:val="center"/>
          </w:tcPr>
          <w:p w14:paraId="55D47F4D">
            <w:pPr>
              <w:pStyle w:val="6"/>
              <w:widowControl/>
              <w:spacing w:beforeAutospacing="0" w:afterAutospacing="0" w:line="324" w:lineRule="atLeast"/>
            </w:pPr>
            <w:r>
              <w:t>MPEG-4 AVC/H.264</w:t>
            </w:r>
          </w:p>
        </w:tc>
      </w:tr>
      <w:tr w14:paraId="390BEC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476560EB">
            <w:pPr>
              <w:jc w:val="left"/>
              <w:rPr>
                <w:rFonts w:ascii="宋体"/>
                <w:sz w:val="24"/>
                <w:szCs w:val="24"/>
              </w:rPr>
            </w:pPr>
          </w:p>
        </w:tc>
        <w:tc>
          <w:tcPr>
            <w:tcW w:w="2835" w:type="dxa"/>
            <w:gridSpan w:val="3"/>
            <w:shd w:val="clear" w:color="auto" w:fill="auto"/>
            <w:vAlign w:val="center"/>
          </w:tcPr>
          <w:p w14:paraId="676522B9">
            <w:pPr>
              <w:pStyle w:val="6"/>
              <w:widowControl/>
              <w:spacing w:beforeAutospacing="0" w:afterAutospacing="0" w:line="324" w:lineRule="atLeast"/>
            </w:pPr>
            <w:r>
              <w:t>Bit-rate</w:t>
            </w:r>
          </w:p>
        </w:tc>
        <w:tc>
          <w:tcPr>
            <w:tcW w:w="4815" w:type="dxa"/>
            <w:shd w:val="clear" w:color="auto" w:fill="auto"/>
            <w:vAlign w:val="center"/>
          </w:tcPr>
          <w:p w14:paraId="22C94458">
            <w:pPr>
              <w:pStyle w:val="6"/>
              <w:widowControl/>
              <w:spacing w:beforeAutospacing="0" w:afterAutospacing="0" w:line="324" w:lineRule="atLeast"/>
            </w:pPr>
            <w:r>
              <w:t>1~13Mbps each channel</w:t>
            </w:r>
          </w:p>
        </w:tc>
      </w:tr>
      <w:tr w14:paraId="4D93F5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28ED8FF6">
            <w:pPr>
              <w:jc w:val="left"/>
              <w:rPr>
                <w:rFonts w:ascii="宋体"/>
                <w:sz w:val="24"/>
                <w:szCs w:val="24"/>
              </w:rPr>
            </w:pPr>
          </w:p>
        </w:tc>
        <w:tc>
          <w:tcPr>
            <w:tcW w:w="2835" w:type="dxa"/>
            <w:gridSpan w:val="3"/>
            <w:shd w:val="clear" w:color="auto" w:fill="auto"/>
            <w:vAlign w:val="center"/>
          </w:tcPr>
          <w:p w14:paraId="2FB2F9D0">
            <w:pPr>
              <w:pStyle w:val="6"/>
              <w:widowControl/>
              <w:spacing w:beforeAutospacing="0" w:afterAutospacing="0" w:line="324" w:lineRule="atLeast"/>
            </w:pPr>
            <w:r>
              <w:t>Rate Control</w:t>
            </w:r>
          </w:p>
        </w:tc>
        <w:tc>
          <w:tcPr>
            <w:tcW w:w="4815" w:type="dxa"/>
            <w:shd w:val="clear" w:color="auto" w:fill="auto"/>
            <w:vAlign w:val="center"/>
          </w:tcPr>
          <w:p w14:paraId="1FE7CBFA">
            <w:pPr>
              <w:pStyle w:val="6"/>
              <w:widowControl/>
              <w:spacing w:beforeAutospacing="0" w:afterAutospacing="0" w:line="324" w:lineRule="atLeast"/>
            </w:pPr>
            <w:r>
              <w:t>CBR/VBR</w:t>
            </w:r>
          </w:p>
        </w:tc>
      </w:tr>
      <w:tr w14:paraId="531982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46BB47FC">
            <w:pPr>
              <w:jc w:val="left"/>
              <w:rPr>
                <w:rFonts w:ascii="宋体"/>
                <w:sz w:val="24"/>
                <w:szCs w:val="24"/>
              </w:rPr>
            </w:pPr>
          </w:p>
        </w:tc>
        <w:tc>
          <w:tcPr>
            <w:tcW w:w="2835" w:type="dxa"/>
            <w:gridSpan w:val="3"/>
            <w:shd w:val="clear" w:color="auto" w:fill="auto"/>
            <w:vAlign w:val="center"/>
          </w:tcPr>
          <w:p w14:paraId="769037A3">
            <w:pPr>
              <w:pStyle w:val="6"/>
              <w:widowControl/>
              <w:spacing w:beforeAutospacing="0" w:afterAutospacing="0" w:line="324" w:lineRule="atLeast"/>
            </w:pPr>
            <w:r>
              <w:t>GOP Structure</w:t>
            </w:r>
          </w:p>
        </w:tc>
        <w:tc>
          <w:tcPr>
            <w:tcW w:w="4815" w:type="dxa"/>
            <w:shd w:val="clear" w:color="auto" w:fill="auto"/>
            <w:vAlign w:val="center"/>
          </w:tcPr>
          <w:p w14:paraId="243A9994">
            <w:pPr>
              <w:pStyle w:val="6"/>
              <w:widowControl/>
              <w:spacing w:beforeAutospacing="0" w:afterAutospacing="0" w:line="324" w:lineRule="atLeast"/>
            </w:pPr>
            <w:r>
              <w:t>IP…P (P Frame adjustment, without B Frame )</w:t>
            </w:r>
          </w:p>
        </w:tc>
      </w:tr>
      <w:tr w14:paraId="78A952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restart"/>
            <w:shd w:val="clear" w:color="auto" w:fill="auto"/>
            <w:vAlign w:val="center"/>
          </w:tcPr>
          <w:p w14:paraId="0F92CE75">
            <w:pPr>
              <w:pStyle w:val="6"/>
              <w:widowControl/>
              <w:spacing w:beforeAutospacing="0" w:afterAutospacing="0" w:line="324" w:lineRule="atLeast"/>
            </w:pPr>
            <w:r>
              <w:rPr>
                <w:rStyle w:val="10"/>
              </w:rPr>
              <w:t>Audio</w:t>
            </w:r>
          </w:p>
        </w:tc>
        <w:tc>
          <w:tcPr>
            <w:tcW w:w="2835" w:type="dxa"/>
            <w:gridSpan w:val="3"/>
            <w:shd w:val="clear" w:color="auto" w:fill="auto"/>
            <w:vAlign w:val="center"/>
          </w:tcPr>
          <w:p w14:paraId="7F3C8A4C">
            <w:pPr>
              <w:pStyle w:val="6"/>
              <w:widowControl/>
              <w:spacing w:beforeAutospacing="0" w:afterAutospacing="0" w:line="324" w:lineRule="atLeast"/>
            </w:pPr>
            <w:r>
              <w:t>Encoding</w:t>
            </w:r>
          </w:p>
        </w:tc>
        <w:tc>
          <w:tcPr>
            <w:tcW w:w="4815" w:type="dxa"/>
            <w:shd w:val="clear" w:color="auto" w:fill="auto"/>
            <w:vAlign w:val="center"/>
          </w:tcPr>
          <w:p w14:paraId="52C0F4AE">
            <w:pPr>
              <w:pStyle w:val="6"/>
              <w:widowControl/>
              <w:spacing w:beforeAutospacing="0" w:afterAutospacing="0" w:line="324" w:lineRule="atLeast"/>
            </w:pPr>
            <w:r>
              <w:t>MPEG-1 Layer 2, LC-AAC, HE-AAC and AC3 Pass through</w:t>
            </w:r>
          </w:p>
        </w:tc>
      </w:tr>
      <w:tr w14:paraId="12AD38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2B23C6FE">
            <w:pPr>
              <w:jc w:val="left"/>
              <w:rPr>
                <w:rFonts w:ascii="宋体"/>
                <w:sz w:val="24"/>
                <w:szCs w:val="24"/>
              </w:rPr>
            </w:pPr>
          </w:p>
        </w:tc>
        <w:tc>
          <w:tcPr>
            <w:tcW w:w="2835" w:type="dxa"/>
            <w:gridSpan w:val="3"/>
            <w:shd w:val="clear" w:color="auto" w:fill="auto"/>
            <w:vAlign w:val="center"/>
          </w:tcPr>
          <w:p w14:paraId="4C47D267">
            <w:pPr>
              <w:pStyle w:val="6"/>
              <w:widowControl/>
              <w:spacing w:beforeAutospacing="0" w:afterAutospacing="0" w:line="324" w:lineRule="atLeast"/>
            </w:pPr>
            <w:r>
              <w:t>Sampling rate</w:t>
            </w:r>
          </w:p>
        </w:tc>
        <w:tc>
          <w:tcPr>
            <w:tcW w:w="4815" w:type="dxa"/>
            <w:shd w:val="clear" w:color="auto" w:fill="auto"/>
            <w:vAlign w:val="center"/>
          </w:tcPr>
          <w:p w14:paraId="6A67242E">
            <w:pPr>
              <w:pStyle w:val="6"/>
              <w:widowControl/>
              <w:spacing w:beforeAutospacing="0" w:afterAutospacing="0" w:line="324" w:lineRule="atLeast"/>
            </w:pPr>
            <w:r>
              <w:t>48KHz</w:t>
            </w:r>
          </w:p>
        </w:tc>
      </w:tr>
      <w:tr w14:paraId="098463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250EFED1">
            <w:pPr>
              <w:jc w:val="left"/>
              <w:rPr>
                <w:rFonts w:ascii="宋体"/>
                <w:sz w:val="24"/>
                <w:szCs w:val="24"/>
              </w:rPr>
            </w:pPr>
          </w:p>
        </w:tc>
        <w:tc>
          <w:tcPr>
            <w:tcW w:w="2835" w:type="dxa"/>
            <w:gridSpan w:val="3"/>
            <w:shd w:val="clear" w:color="auto" w:fill="auto"/>
            <w:vAlign w:val="center"/>
          </w:tcPr>
          <w:p w14:paraId="749B6E04">
            <w:pPr>
              <w:pStyle w:val="6"/>
              <w:widowControl/>
              <w:spacing w:beforeAutospacing="0" w:afterAutospacing="0" w:line="324" w:lineRule="atLeast"/>
            </w:pPr>
            <w:r>
              <w:t>Resolution</w:t>
            </w:r>
          </w:p>
        </w:tc>
        <w:tc>
          <w:tcPr>
            <w:tcW w:w="4815" w:type="dxa"/>
            <w:shd w:val="clear" w:color="auto" w:fill="auto"/>
            <w:vAlign w:val="center"/>
          </w:tcPr>
          <w:p w14:paraId="151BB249">
            <w:pPr>
              <w:pStyle w:val="6"/>
              <w:widowControl/>
              <w:spacing w:beforeAutospacing="0" w:afterAutospacing="0" w:line="324" w:lineRule="atLeast"/>
            </w:pPr>
            <w:r>
              <w:t>24-bit</w:t>
            </w:r>
          </w:p>
        </w:tc>
      </w:tr>
      <w:tr w14:paraId="280DFE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7B28F7F2">
            <w:pPr>
              <w:jc w:val="left"/>
              <w:rPr>
                <w:rFonts w:ascii="宋体"/>
                <w:sz w:val="24"/>
                <w:szCs w:val="24"/>
              </w:rPr>
            </w:pPr>
          </w:p>
        </w:tc>
        <w:tc>
          <w:tcPr>
            <w:tcW w:w="2835" w:type="dxa"/>
            <w:gridSpan w:val="3"/>
            <w:shd w:val="clear" w:color="auto" w:fill="auto"/>
            <w:vAlign w:val="center"/>
          </w:tcPr>
          <w:p w14:paraId="57BAF936">
            <w:pPr>
              <w:pStyle w:val="6"/>
              <w:widowControl/>
              <w:spacing w:beforeAutospacing="0" w:afterAutospacing="0" w:line="324" w:lineRule="atLeast"/>
            </w:pPr>
            <w:r>
              <w:t>Audio Gain</w:t>
            </w:r>
          </w:p>
        </w:tc>
        <w:tc>
          <w:tcPr>
            <w:tcW w:w="4815" w:type="dxa"/>
            <w:shd w:val="clear" w:color="auto" w:fill="auto"/>
            <w:vAlign w:val="center"/>
          </w:tcPr>
          <w:p w14:paraId="66E3D2AC">
            <w:pPr>
              <w:pStyle w:val="6"/>
              <w:widowControl/>
              <w:spacing w:beforeAutospacing="0" w:afterAutospacing="0" w:line="324" w:lineRule="atLeast"/>
            </w:pPr>
            <w:r>
              <w:t>0-255 Adjustable</w:t>
            </w:r>
          </w:p>
        </w:tc>
      </w:tr>
      <w:tr w14:paraId="5303F6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1AFF70B6">
            <w:pPr>
              <w:jc w:val="left"/>
              <w:rPr>
                <w:rFonts w:ascii="宋体"/>
                <w:sz w:val="24"/>
                <w:szCs w:val="24"/>
              </w:rPr>
            </w:pPr>
          </w:p>
        </w:tc>
        <w:tc>
          <w:tcPr>
            <w:tcW w:w="2835" w:type="dxa"/>
            <w:gridSpan w:val="3"/>
            <w:shd w:val="clear" w:color="auto" w:fill="auto"/>
            <w:vAlign w:val="center"/>
          </w:tcPr>
          <w:p w14:paraId="7E996327">
            <w:pPr>
              <w:pStyle w:val="6"/>
              <w:widowControl/>
              <w:spacing w:beforeAutospacing="0" w:afterAutospacing="0" w:line="324" w:lineRule="atLeast"/>
            </w:pPr>
            <w:r>
              <w:t>MPEG-1 Layer 2 Bit-rate</w:t>
            </w:r>
          </w:p>
        </w:tc>
        <w:tc>
          <w:tcPr>
            <w:tcW w:w="4815" w:type="dxa"/>
            <w:shd w:val="clear" w:color="auto" w:fill="auto"/>
            <w:vAlign w:val="center"/>
          </w:tcPr>
          <w:p w14:paraId="36090438">
            <w:pPr>
              <w:pStyle w:val="6"/>
              <w:widowControl/>
              <w:spacing w:beforeAutospacing="0" w:afterAutospacing="0" w:line="324" w:lineRule="atLeast"/>
            </w:pPr>
            <w:r>
              <w:t>48/56/64/80/96/112/128/160/192/224/256/320/384 kbps</w:t>
            </w:r>
          </w:p>
        </w:tc>
      </w:tr>
      <w:tr w14:paraId="43F8CC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58525B40">
            <w:pPr>
              <w:jc w:val="left"/>
              <w:rPr>
                <w:rFonts w:ascii="宋体"/>
                <w:sz w:val="24"/>
                <w:szCs w:val="24"/>
              </w:rPr>
            </w:pPr>
          </w:p>
        </w:tc>
        <w:tc>
          <w:tcPr>
            <w:tcW w:w="2835" w:type="dxa"/>
            <w:gridSpan w:val="3"/>
            <w:shd w:val="clear" w:color="auto" w:fill="auto"/>
            <w:vAlign w:val="center"/>
          </w:tcPr>
          <w:p w14:paraId="65230C1A">
            <w:pPr>
              <w:pStyle w:val="6"/>
              <w:widowControl/>
              <w:spacing w:beforeAutospacing="0" w:afterAutospacing="0" w:line="324" w:lineRule="atLeast"/>
            </w:pPr>
            <w:r>
              <w:t>LC-AAC Bit-rate</w:t>
            </w:r>
          </w:p>
        </w:tc>
        <w:tc>
          <w:tcPr>
            <w:tcW w:w="4815" w:type="dxa"/>
            <w:shd w:val="clear" w:color="auto" w:fill="auto"/>
            <w:vAlign w:val="center"/>
          </w:tcPr>
          <w:p w14:paraId="75EE2F88">
            <w:pPr>
              <w:pStyle w:val="6"/>
              <w:widowControl/>
              <w:spacing w:beforeAutospacing="0" w:afterAutospacing="0" w:line="324" w:lineRule="atLeast"/>
            </w:pPr>
            <w:r>
              <w:t>48/56/64/80/96/112/128/160/192/224/256/320/384 kbps</w:t>
            </w:r>
          </w:p>
        </w:tc>
      </w:tr>
      <w:tr w14:paraId="3AD0CE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1A500B00">
            <w:pPr>
              <w:jc w:val="left"/>
              <w:rPr>
                <w:rFonts w:ascii="宋体"/>
                <w:sz w:val="24"/>
                <w:szCs w:val="24"/>
              </w:rPr>
            </w:pPr>
          </w:p>
        </w:tc>
        <w:tc>
          <w:tcPr>
            <w:tcW w:w="2835" w:type="dxa"/>
            <w:gridSpan w:val="3"/>
            <w:shd w:val="clear" w:color="auto" w:fill="auto"/>
            <w:vAlign w:val="center"/>
          </w:tcPr>
          <w:p w14:paraId="033A432B">
            <w:pPr>
              <w:pStyle w:val="6"/>
              <w:widowControl/>
              <w:spacing w:beforeAutospacing="0" w:afterAutospacing="0" w:line="324" w:lineRule="atLeast"/>
            </w:pPr>
            <w:r>
              <w:t>HE-AAC Bit-rate</w:t>
            </w:r>
          </w:p>
        </w:tc>
        <w:tc>
          <w:tcPr>
            <w:tcW w:w="4815" w:type="dxa"/>
            <w:shd w:val="clear" w:color="auto" w:fill="auto"/>
            <w:vAlign w:val="center"/>
          </w:tcPr>
          <w:p w14:paraId="1ED3C9F2">
            <w:pPr>
              <w:pStyle w:val="6"/>
              <w:widowControl/>
              <w:spacing w:beforeAutospacing="0" w:afterAutospacing="0" w:line="324" w:lineRule="atLeast"/>
            </w:pPr>
            <w:r>
              <w:t>48/56/64/80/96/112/128 kbps</w:t>
            </w:r>
          </w:p>
        </w:tc>
      </w:tr>
      <w:tr w14:paraId="2FFDFA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shd w:val="clear" w:color="auto" w:fill="auto"/>
            <w:vAlign w:val="center"/>
          </w:tcPr>
          <w:p w14:paraId="7EA56C88">
            <w:pPr>
              <w:pStyle w:val="6"/>
              <w:widowControl/>
              <w:spacing w:beforeAutospacing="0" w:afterAutospacing="0" w:line="324" w:lineRule="atLeast"/>
            </w:pPr>
            <w:r>
              <w:rPr>
                <w:rStyle w:val="10"/>
              </w:rPr>
              <w:t>Stream output</w:t>
            </w:r>
          </w:p>
        </w:tc>
        <w:tc>
          <w:tcPr>
            <w:tcW w:w="7665" w:type="dxa"/>
            <w:gridSpan w:val="4"/>
            <w:shd w:val="clear" w:color="auto" w:fill="auto"/>
            <w:vAlign w:val="center"/>
          </w:tcPr>
          <w:p w14:paraId="723942C5">
            <w:pPr>
              <w:pStyle w:val="6"/>
              <w:widowControl/>
              <w:spacing w:beforeAutospacing="0" w:afterAutospacing="0" w:line="324" w:lineRule="atLeast"/>
            </w:pPr>
            <w:r>
              <w:t>IP output through DATA (GE) over UDP and RTP/RTSP protocol</w:t>
            </w:r>
          </w:p>
          <w:p w14:paraId="25907007">
            <w:pPr>
              <w:pStyle w:val="6"/>
              <w:widowControl/>
              <w:spacing w:beforeAutospacing="0" w:afterAutospacing="0" w:line="324" w:lineRule="atLeast"/>
            </w:pPr>
            <w:r>
              <w:t>(8 HDMI inputs with 8 SPTS and 1MPTS output for each encoder module) </w:t>
            </w:r>
          </w:p>
        </w:tc>
      </w:tr>
      <w:tr w14:paraId="724336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restart"/>
            <w:shd w:val="clear" w:color="auto" w:fill="auto"/>
            <w:vAlign w:val="center"/>
          </w:tcPr>
          <w:p w14:paraId="35C427BA">
            <w:pPr>
              <w:pStyle w:val="6"/>
              <w:widowControl/>
              <w:spacing w:beforeAutospacing="0" w:afterAutospacing="0" w:line="324" w:lineRule="atLeast"/>
            </w:pPr>
            <w:r>
              <w:rPr>
                <w:rStyle w:val="10"/>
              </w:rPr>
              <w:t>System function</w:t>
            </w:r>
          </w:p>
        </w:tc>
        <w:tc>
          <w:tcPr>
            <w:tcW w:w="7665" w:type="dxa"/>
            <w:gridSpan w:val="4"/>
            <w:shd w:val="clear" w:color="auto" w:fill="auto"/>
            <w:vAlign w:val="center"/>
          </w:tcPr>
          <w:p w14:paraId="72FE7F1E">
            <w:pPr>
              <w:pStyle w:val="6"/>
              <w:widowControl/>
              <w:spacing w:beforeAutospacing="0" w:afterAutospacing="0" w:line="324" w:lineRule="atLeast"/>
            </w:pPr>
            <w:r>
              <w:t>Network management (WEB)</w:t>
            </w:r>
          </w:p>
        </w:tc>
      </w:tr>
      <w:tr w14:paraId="49ED26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274222AD">
            <w:pPr>
              <w:jc w:val="left"/>
              <w:rPr>
                <w:rFonts w:ascii="宋体"/>
                <w:sz w:val="24"/>
                <w:szCs w:val="24"/>
              </w:rPr>
            </w:pPr>
          </w:p>
        </w:tc>
        <w:tc>
          <w:tcPr>
            <w:tcW w:w="7665" w:type="dxa"/>
            <w:gridSpan w:val="4"/>
            <w:shd w:val="clear" w:color="auto" w:fill="auto"/>
            <w:vAlign w:val="center"/>
          </w:tcPr>
          <w:p w14:paraId="2C783E66">
            <w:pPr>
              <w:pStyle w:val="6"/>
              <w:widowControl/>
              <w:spacing w:beforeAutospacing="0" w:afterAutospacing="0" w:line="324" w:lineRule="atLeast"/>
            </w:pPr>
            <w:r>
              <w:t>English language</w:t>
            </w:r>
          </w:p>
        </w:tc>
      </w:tr>
      <w:tr w14:paraId="1559D4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56BCD73A">
            <w:pPr>
              <w:jc w:val="left"/>
              <w:rPr>
                <w:rFonts w:ascii="宋体"/>
                <w:sz w:val="24"/>
                <w:szCs w:val="24"/>
              </w:rPr>
            </w:pPr>
          </w:p>
        </w:tc>
        <w:tc>
          <w:tcPr>
            <w:tcW w:w="7665" w:type="dxa"/>
            <w:gridSpan w:val="4"/>
            <w:shd w:val="clear" w:color="auto" w:fill="auto"/>
            <w:vAlign w:val="center"/>
          </w:tcPr>
          <w:p w14:paraId="1F7A4E57">
            <w:pPr>
              <w:pStyle w:val="6"/>
              <w:widowControl/>
              <w:spacing w:beforeAutospacing="0" w:afterAutospacing="0" w:line="324" w:lineRule="atLeast"/>
            </w:pPr>
            <w:r>
              <w:t>Ethernet software upgrade</w:t>
            </w:r>
          </w:p>
        </w:tc>
      </w:tr>
      <w:tr w14:paraId="7FD51A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restart"/>
            <w:shd w:val="clear" w:color="auto" w:fill="auto"/>
            <w:vAlign w:val="center"/>
          </w:tcPr>
          <w:p w14:paraId="36275171">
            <w:pPr>
              <w:pStyle w:val="6"/>
              <w:widowControl/>
              <w:spacing w:beforeAutospacing="0" w:afterAutospacing="0" w:line="324" w:lineRule="atLeast"/>
            </w:pPr>
            <w:r>
              <w:rPr>
                <w:rStyle w:val="10"/>
              </w:rPr>
              <w:t>Miscellaneous</w:t>
            </w:r>
          </w:p>
        </w:tc>
        <w:tc>
          <w:tcPr>
            <w:tcW w:w="2415" w:type="dxa"/>
            <w:gridSpan w:val="2"/>
            <w:shd w:val="clear" w:color="auto" w:fill="auto"/>
            <w:vAlign w:val="center"/>
          </w:tcPr>
          <w:p w14:paraId="6C1B4D1A">
            <w:pPr>
              <w:pStyle w:val="6"/>
              <w:widowControl/>
              <w:spacing w:beforeAutospacing="0" w:afterAutospacing="0" w:line="324" w:lineRule="atLeast"/>
            </w:pPr>
            <w:r>
              <w:t>Dimension(W×L×H)</w:t>
            </w:r>
          </w:p>
        </w:tc>
        <w:tc>
          <w:tcPr>
            <w:tcW w:w="5250" w:type="dxa"/>
            <w:gridSpan w:val="2"/>
            <w:shd w:val="clear" w:color="auto" w:fill="auto"/>
            <w:vAlign w:val="center"/>
          </w:tcPr>
          <w:p w14:paraId="19584031">
            <w:pPr>
              <w:pStyle w:val="6"/>
              <w:widowControl/>
              <w:spacing w:beforeAutospacing="0" w:afterAutospacing="0" w:line="324" w:lineRule="atLeast"/>
            </w:pPr>
            <w:r>
              <w:t>440mm×324mm×44mm</w:t>
            </w:r>
          </w:p>
        </w:tc>
      </w:tr>
      <w:tr w14:paraId="4CCB2F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4831808D">
            <w:pPr>
              <w:jc w:val="left"/>
              <w:rPr>
                <w:rFonts w:ascii="宋体"/>
                <w:sz w:val="24"/>
                <w:szCs w:val="24"/>
              </w:rPr>
            </w:pPr>
          </w:p>
        </w:tc>
        <w:tc>
          <w:tcPr>
            <w:tcW w:w="2415" w:type="dxa"/>
            <w:gridSpan w:val="2"/>
            <w:shd w:val="clear" w:color="auto" w:fill="auto"/>
            <w:vAlign w:val="center"/>
          </w:tcPr>
          <w:p w14:paraId="5F3F8E00">
            <w:pPr>
              <w:pStyle w:val="6"/>
              <w:widowControl/>
              <w:spacing w:beforeAutospacing="0" w:afterAutospacing="0" w:line="324" w:lineRule="atLeast"/>
            </w:pPr>
            <w:r>
              <w:t>Environment</w:t>
            </w:r>
          </w:p>
        </w:tc>
        <w:tc>
          <w:tcPr>
            <w:tcW w:w="5250" w:type="dxa"/>
            <w:gridSpan w:val="2"/>
            <w:shd w:val="clear" w:color="auto" w:fill="auto"/>
            <w:vAlign w:val="center"/>
          </w:tcPr>
          <w:p w14:paraId="64BDEBFC">
            <w:pPr>
              <w:pStyle w:val="6"/>
              <w:widowControl/>
              <w:spacing w:beforeAutospacing="0" w:afterAutospacing="0" w:line="324" w:lineRule="atLeast"/>
            </w:pPr>
            <w:r>
              <w:t>0~45℃(work)；-20~80℃（Storage）</w:t>
            </w:r>
          </w:p>
        </w:tc>
      </w:tr>
      <w:tr w14:paraId="3D0205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2CFB68B6">
            <w:pPr>
              <w:jc w:val="left"/>
              <w:rPr>
                <w:rFonts w:ascii="宋体"/>
                <w:sz w:val="24"/>
                <w:szCs w:val="24"/>
              </w:rPr>
            </w:pPr>
          </w:p>
        </w:tc>
        <w:tc>
          <w:tcPr>
            <w:tcW w:w="2415" w:type="dxa"/>
            <w:gridSpan w:val="2"/>
            <w:shd w:val="clear" w:color="auto" w:fill="auto"/>
            <w:vAlign w:val="center"/>
          </w:tcPr>
          <w:p w14:paraId="46CF41FF">
            <w:pPr>
              <w:pStyle w:val="6"/>
              <w:widowControl/>
              <w:spacing w:beforeAutospacing="0" w:afterAutospacing="0" w:line="324" w:lineRule="atLeast"/>
            </w:pPr>
            <w:r>
              <w:t>Power requirements  </w:t>
            </w:r>
          </w:p>
        </w:tc>
        <w:tc>
          <w:tcPr>
            <w:tcW w:w="5250" w:type="dxa"/>
            <w:gridSpan w:val="2"/>
            <w:shd w:val="clear" w:color="auto" w:fill="auto"/>
            <w:vAlign w:val="center"/>
          </w:tcPr>
          <w:p w14:paraId="5DB1D673">
            <w:pPr>
              <w:pStyle w:val="6"/>
              <w:widowControl/>
              <w:spacing w:beforeAutospacing="0" w:afterAutospacing="0" w:line="324" w:lineRule="atLeast"/>
            </w:pPr>
            <w:r>
              <w:t>AC 110V± 10%, 50/60Hz, AC 220 ± 10%, 50/60Hz</w:t>
            </w:r>
          </w:p>
        </w:tc>
      </w:tr>
    </w:tbl>
    <w:p w14:paraId="4B8256E5">
      <w:pPr>
        <w:pStyle w:val="6"/>
        <w:widowControl/>
        <w:spacing w:beforeAutospacing="0" w:afterAutospacing="0" w:line="324" w:lineRule="atLeast"/>
      </w:pPr>
      <w:r>
        <w:rPr>
          <w:rFonts w:ascii="Verdana" w:hAnsi="Verdana" w:cs="Verdana"/>
          <w:color w:val="333333"/>
          <w:sz w:val="18"/>
          <w:szCs w:val="18"/>
          <w:shd w:val="clear" w:color="auto" w:fill="FEFCFD"/>
        </w:rPr>
        <w:t> </w:t>
      </w:r>
    </w:p>
    <w:p w14:paraId="7DF09092">
      <w:pPr>
        <w:pStyle w:val="6"/>
        <w:widowControl/>
        <w:spacing w:beforeAutospacing="0" w:afterAutospacing="0" w:line="324" w:lineRule="atLeast"/>
      </w:pPr>
      <w:r>
        <w:rPr>
          <w:rStyle w:val="10"/>
          <w:rFonts w:ascii="Verdana" w:hAnsi="Verdana" w:cs="Verdana"/>
          <w:color w:val="333333"/>
          <w:sz w:val="18"/>
          <w:szCs w:val="18"/>
          <w:shd w:val="clear" w:color="auto" w:fill="FEFCFD"/>
        </w:rPr>
        <w:t>Order Guide</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766"/>
        <w:gridCol w:w="7984"/>
      </w:tblGrid>
      <w:tr w14:paraId="15DC29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shd w:val="clear" w:color="auto" w:fill="auto"/>
            <w:vAlign w:val="center"/>
          </w:tcPr>
          <w:p w14:paraId="691FA9F8">
            <w:pPr>
              <w:pStyle w:val="6"/>
              <w:widowControl/>
              <w:spacing w:beforeAutospacing="0" w:afterAutospacing="0" w:line="324" w:lineRule="atLeast"/>
              <w:jc w:val="center"/>
            </w:pPr>
            <w:r>
              <w:rPr>
                <w:rStyle w:val="10"/>
              </w:rPr>
              <w:t>P/N</w:t>
            </w:r>
          </w:p>
        </w:tc>
        <w:tc>
          <w:tcPr>
            <w:tcW w:w="7665" w:type="dxa"/>
            <w:shd w:val="clear" w:color="auto" w:fill="auto"/>
            <w:vAlign w:val="center"/>
          </w:tcPr>
          <w:p w14:paraId="1DFC425A">
            <w:pPr>
              <w:pStyle w:val="6"/>
              <w:widowControl/>
              <w:spacing w:beforeAutospacing="0" w:afterAutospacing="0" w:line="324" w:lineRule="atLeast"/>
              <w:jc w:val="center"/>
            </w:pPr>
            <w:r>
              <w:rPr>
                <w:rStyle w:val="10"/>
              </w:rPr>
              <w:t>Config</w:t>
            </w:r>
          </w:p>
        </w:tc>
      </w:tr>
      <w:tr w14:paraId="5EC3BA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shd w:val="clear" w:color="auto" w:fill="auto"/>
            <w:vAlign w:val="center"/>
          </w:tcPr>
          <w:p w14:paraId="6BF27FA0">
            <w:pPr>
              <w:pStyle w:val="6"/>
              <w:widowControl/>
              <w:spacing w:beforeAutospacing="0" w:afterAutospacing="0" w:line="324" w:lineRule="atLeast"/>
              <w:jc w:val="center"/>
            </w:pPr>
            <w:r>
              <w:rPr>
                <w:rFonts w:hint="eastAsia"/>
              </w:rPr>
              <w:t>FU-4347</w:t>
            </w:r>
            <w:r>
              <w:t>S</w:t>
            </w:r>
          </w:p>
        </w:tc>
        <w:tc>
          <w:tcPr>
            <w:tcW w:w="7665" w:type="dxa"/>
            <w:shd w:val="clear" w:color="auto" w:fill="auto"/>
            <w:vAlign w:val="center"/>
          </w:tcPr>
          <w:p w14:paraId="03B128A4">
            <w:pPr>
              <w:pStyle w:val="6"/>
              <w:widowControl/>
              <w:spacing w:beforeAutospacing="0" w:afterAutospacing="0" w:line="324" w:lineRule="atLeast"/>
              <w:jc w:val="center"/>
            </w:pPr>
            <w:r>
              <w:t>16 HDMI inputs</w:t>
            </w:r>
          </w:p>
        </w:tc>
      </w:tr>
      <w:tr w14:paraId="3A1DDF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shd w:val="clear" w:color="auto" w:fill="auto"/>
            <w:vAlign w:val="center"/>
          </w:tcPr>
          <w:p w14:paraId="663AA74A">
            <w:pPr>
              <w:pStyle w:val="6"/>
              <w:widowControl/>
              <w:spacing w:beforeAutospacing="0" w:afterAutospacing="0" w:line="324" w:lineRule="atLeast"/>
              <w:jc w:val="center"/>
            </w:pPr>
            <w:r>
              <w:t>FU-4355S</w:t>
            </w:r>
          </w:p>
        </w:tc>
        <w:tc>
          <w:tcPr>
            <w:tcW w:w="7665" w:type="dxa"/>
            <w:shd w:val="clear" w:color="auto" w:fill="auto"/>
            <w:vAlign w:val="center"/>
          </w:tcPr>
          <w:p w14:paraId="60B2C349">
            <w:pPr>
              <w:pStyle w:val="6"/>
              <w:widowControl/>
              <w:spacing w:beforeAutospacing="0" w:afterAutospacing="0" w:line="324" w:lineRule="atLeast"/>
              <w:jc w:val="center"/>
            </w:pPr>
            <w:r>
              <w:t>24 HDMI inputs</w:t>
            </w:r>
          </w:p>
        </w:tc>
      </w:tr>
    </w:tbl>
    <w:p w14:paraId="14ADB8E1">
      <w:pPr>
        <w:pStyle w:val="6"/>
        <w:widowControl/>
        <w:spacing w:beforeAutospacing="0" w:afterAutospacing="0" w:line="324" w:lineRule="atLeast"/>
      </w:pPr>
      <w:r>
        <w:rPr>
          <w:rFonts w:ascii="Verdana" w:hAnsi="Verdana" w:cs="Verdana"/>
          <w:color w:val="333333"/>
          <w:sz w:val="18"/>
          <w:szCs w:val="18"/>
          <w:shd w:val="clear" w:color="auto" w:fill="FEFCFD"/>
        </w:rPr>
        <w:br w:type="textWrapping"/>
      </w:r>
      <w:r>
        <w:rPr>
          <w:rFonts w:ascii="Verdana" w:hAnsi="Verdana" w:cs="Verdana"/>
          <w:color w:val="333333"/>
          <w:sz w:val="18"/>
          <w:szCs w:val="18"/>
          <w:shd w:val="clear" w:color="auto" w:fill="FEFCFD"/>
        </w:rPr>
        <w:t> </w:t>
      </w:r>
    </w:p>
    <w:p w14:paraId="18357BF4">
      <w:pPr>
        <w:widowControl/>
        <w:shd w:val="clear" w:color="auto" w:fill="F2F2F4"/>
        <w:jc w:val="left"/>
        <w:rPr>
          <w:rFonts w:ascii="Verdana" w:hAnsi="Verdana" w:cs="Verdana"/>
          <w:color w:val="333333"/>
          <w:sz w:val="18"/>
          <w:szCs w:val="18"/>
        </w:rPr>
      </w:pPr>
    </w:p>
    <w:p w14:paraId="6200FD70">
      <w:pPr>
        <w:rPr>
          <w:rFonts w:ascii="Verdana" w:hAnsi="Verdana" w:cs="Verdana"/>
          <w:color w:val="000000"/>
          <w:sz w:val="28"/>
        </w:rPr>
      </w:pPr>
    </w:p>
    <w:p w14:paraId="35B755B0">
      <w:pPr>
        <w:rPr>
          <w:rFonts w:ascii="Verdana" w:hAnsi="Verdana" w:cs="Verdana"/>
          <w:b/>
          <w:color w:val="000000"/>
          <w:sz w:val="22"/>
        </w:rPr>
      </w:pPr>
      <w:r>
        <w:rPr>
          <w:rFonts w:hint="eastAsia" w:ascii="Verdana" w:hAnsi="Verdana" w:cs="Verdana"/>
          <w:b/>
          <w:color w:val="000000"/>
          <w:sz w:val="22"/>
        </w:rPr>
        <w:t>About Us</w:t>
      </w:r>
    </w:p>
    <w:p w14:paraId="1708D97F">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43363E6F">
      <w:pPr>
        <w:rPr>
          <w:rFonts w:ascii="Verdana" w:hAnsi="Verdana" w:cs="Verdana"/>
          <w:color w:val="000000"/>
          <w:sz w:val="18"/>
        </w:rPr>
      </w:pPr>
    </w:p>
    <w:p w14:paraId="3B3816CB">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2E05B">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453DD176">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10E3A">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BDA33F"/>
    <w:multiLevelType w:val="multilevel"/>
    <w:tmpl w:val="E1BDA33F"/>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4056"/>
    <w:rsid w:val="001E63E5"/>
    <w:rsid w:val="00215238"/>
    <w:rsid w:val="00227839"/>
    <w:rsid w:val="00262713"/>
    <w:rsid w:val="00270F98"/>
    <w:rsid w:val="003743F3"/>
    <w:rsid w:val="003F2047"/>
    <w:rsid w:val="003F4D40"/>
    <w:rsid w:val="00444478"/>
    <w:rsid w:val="00453C05"/>
    <w:rsid w:val="00465307"/>
    <w:rsid w:val="0049468E"/>
    <w:rsid w:val="00622ACE"/>
    <w:rsid w:val="00665764"/>
    <w:rsid w:val="006E2041"/>
    <w:rsid w:val="00731840"/>
    <w:rsid w:val="007349B0"/>
    <w:rsid w:val="007359E2"/>
    <w:rsid w:val="0077681E"/>
    <w:rsid w:val="008D6808"/>
    <w:rsid w:val="008F5DAA"/>
    <w:rsid w:val="00952937"/>
    <w:rsid w:val="00A16F8C"/>
    <w:rsid w:val="00A35CEF"/>
    <w:rsid w:val="00AE759F"/>
    <w:rsid w:val="00AF7C10"/>
    <w:rsid w:val="00B11FEF"/>
    <w:rsid w:val="00B4381C"/>
    <w:rsid w:val="00B539FF"/>
    <w:rsid w:val="00B56E04"/>
    <w:rsid w:val="00BD4043"/>
    <w:rsid w:val="00C42D62"/>
    <w:rsid w:val="00C44FAF"/>
    <w:rsid w:val="00D24477"/>
    <w:rsid w:val="00D53AC3"/>
    <w:rsid w:val="00DD6590"/>
    <w:rsid w:val="00F268A0"/>
    <w:rsid w:val="00F714FF"/>
    <w:rsid w:val="00F7593F"/>
    <w:rsid w:val="00F77382"/>
    <w:rsid w:val="00FC60FC"/>
    <w:rsid w:val="033D434A"/>
    <w:rsid w:val="04B6208F"/>
    <w:rsid w:val="0A680B1B"/>
    <w:rsid w:val="0CA305B4"/>
    <w:rsid w:val="0E1516C1"/>
    <w:rsid w:val="0E714EC9"/>
    <w:rsid w:val="0FC87CEA"/>
    <w:rsid w:val="101C4557"/>
    <w:rsid w:val="15C25510"/>
    <w:rsid w:val="18AE427D"/>
    <w:rsid w:val="18E81EA3"/>
    <w:rsid w:val="1B974A15"/>
    <w:rsid w:val="1CDC4CA0"/>
    <w:rsid w:val="1FCC39C5"/>
    <w:rsid w:val="20F61905"/>
    <w:rsid w:val="2199682E"/>
    <w:rsid w:val="239E3C7B"/>
    <w:rsid w:val="27B55639"/>
    <w:rsid w:val="28DE4D03"/>
    <w:rsid w:val="2A752F8B"/>
    <w:rsid w:val="2C665CEA"/>
    <w:rsid w:val="2E0F6BE8"/>
    <w:rsid w:val="314F3E41"/>
    <w:rsid w:val="34E80695"/>
    <w:rsid w:val="38290F12"/>
    <w:rsid w:val="3B533162"/>
    <w:rsid w:val="3DAB672A"/>
    <w:rsid w:val="45872050"/>
    <w:rsid w:val="478E224E"/>
    <w:rsid w:val="485E04E5"/>
    <w:rsid w:val="487316FE"/>
    <w:rsid w:val="49B75FAC"/>
    <w:rsid w:val="4B3B3B78"/>
    <w:rsid w:val="4B6B1225"/>
    <w:rsid w:val="4E4A4BF6"/>
    <w:rsid w:val="4F8D25ED"/>
    <w:rsid w:val="51AD130D"/>
    <w:rsid w:val="540A3FAB"/>
    <w:rsid w:val="562E484B"/>
    <w:rsid w:val="56834992"/>
    <w:rsid w:val="5930748A"/>
    <w:rsid w:val="59933671"/>
    <w:rsid w:val="5AA83521"/>
    <w:rsid w:val="5CB443BA"/>
    <w:rsid w:val="5EEA5249"/>
    <w:rsid w:val="609213A6"/>
    <w:rsid w:val="61BA6334"/>
    <w:rsid w:val="623B1DE0"/>
    <w:rsid w:val="63C27F07"/>
    <w:rsid w:val="64EC6A5E"/>
    <w:rsid w:val="68AD6386"/>
    <w:rsid w:val="6D7A6503"/>
    <w:rsid w:val="70012FB9"/>
    <w:rsid w:val="70757613"/>
    <w:rsid w:val="70B756B4"/>
    <w:rsid w:val="73270F88"/>
    <w:rsid w:val="74455F31"/>
    <w:rsid w:val="7540100C"/>
    <w:rsid w:val="77935A18"/>
    <w:rsid w:val="78B977F0"/>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hyperlink" Target="https://english.dsdvb.com/Upload/images/Product/Encoder/NDS3236S%203244S/3EEECN_20210112015118.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373</Words>
  <Characters>2208</Characters>
  <Lines>18</Lines>
  <Paragraphs>5</Paragraphs>
  <TotalTime>27</TotalTime>
  <ScaleCrop>false</ScaleCrop>
  <LinksUpToDate>false</LinksUpToDate>
  <CharactersWithSpaces>2517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2025-08-20T02:13:15Z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