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C5F46B">
      <w:pPr>
        <w:pStyle w:val="6"/>
        <w:widowControl/>
        <w:spacing w:beforeAutospacing="0" w:afterAutospacing="0" w:line="324" w:lineRule="atLeast"/>
        <w:ind w:left="424"/>
        <w:jc w:val="center"/>
        <w:rPr>
          <w:rFonts w:ascii="Verdana" w:hAnsi="Verdana" w:cs="Verdana"/>
          <w:b/>
          <w:color w:val="000000"/>
          <w:sz w:val="28"/>
        </w:rPr>
      </w:pPr>
      <w:r>
        <w:rPr>
          <w:rFonts w:hint="eastAsia" w:ascii="Verdana" w:hAnsi="Verdana" w:cs="Verdana"/>
          <w:b/>
          <w:i w:val="0"/>
          <w:strike w:val="0"/>
          <w:color w:val="000000"/>
          <w:sz w:val="28"/>
          <w:lang w:eastAsia="zh-CN"/>
        </w:rPr>
        <w:t>FMUSER FUQ-4349S 8-Channel FM Receiver 8 FM Inputs MPEG1 Layer-2 Encoding ASI-IP Outputs Audio-to-Digital TS Conversion for HFC Terrestrial Systems</w:t>
      </w:r>
      <w:bookmarkStart w:id="0" w:name="_GoBack"/>
      <w:bookmarkEnd w:id="0"/>
    </w:p>
    <w:p w14:paraId="7125C273">
      <w:pPr>
        <w:pStyle w:val="6"/>
        <w:widowControl/>
        <w:spacing w:beforeAutospacing="0" w:afterAutospacing="0" w:line="324" w:lineRule="atLeast"/>
        <w:ind w:left="424"/>
        <w:jc w:val="center"/>
      </w:pPr>
      <w:r>
        <w:rPr>
          <w:rFonts w:ascii="Verdana" w:hAnsi="Verdana" w:cs="Verdana"/>
          <w:color w:val="000000"/>
          <w:sz w:val="28"/>
        </w:rPr>
        <w:drawing>
          <wp:inline distT="0" distB="0" distL="114300" distR="114300">
            <wp:extent cx="6181725" cy="3400425"/>
            <wp:effectExtent l="0" t="0" r="9525" b="9525"/>
            <wp:docPr id="1" name="图片 1" descr="3EEECN_20160203055154"/>
            <wp:cNvGraphicFramePr/>
            <a:graphic xmlns:a="http://schemas.openxmlformats.org/drawingml/2006/main">
              <a:graphicData uri="http://schemas.openxmlformats.org/drawingml/2006/picture">
                <pic:pic xmlns:pic="http://schemas.openxmlformats.org/drawingml/2006/picture">
                  <pic:nvPicPr>
                    <pic:cNvPr id="1" name="图片 1" descr="3EEECN_20160203055154"/>
                    <pic:cNvPicPr/>
                  </pic:nvPicPr>
                  <pic:blipFill>
                    <a:blip r:embed="rId6"/>
                    <a:stretch>
                      <a:fillRect/>
                    </a:stretch>
                  </pic:blipFill>
                  <pic:spPr>
                    <a:xfrm>
                      <a:off x="0" y="0"/>
                      <a:ext cx="6181725" cy="3400425"/>
                    </a:xfrm>
                    <a:prstGeom prst="rect">
                      <a:avLst/>
                    </a:prstGeom>
                  </pic:spPr>
                </pic:pic>
              </a:graphicData>
            </a:graphic>
          </wp:inline>
        </w:drawing>
      </w:r>
      <w:r>
        <w:rPr>
          <w:rFonts w:ascii="Verdana" w:hAnsi="Verdana" w:cs="Verdana"/>
          <w:color w:val="333333"/>
          <w:sz w:val="18"/>
          <w:szCs w:val="18"/>
          <w:shd w:val="clear" w:color="auto" w:fill="FEFCFD"/>
        </w:rPr>
        <w:drawing>
          <wp:inline distT="0" distB="0" distL="114300" distR="114300">
            <wp:extent cx="6179820" cy="3041650"/>
            <wp:effectExtent l="0" t="0" r="11430" b="6350"/>
            <wp:docPr id="2" name="图片 1" descr="IMG_256">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IMG_256"/>
                    <pic:cNvPicPr>
                      <a:picLocks noChangeAspect="1"/>
                    </pic:cNvPicPr>
                  </pic:nvPicPr>
                  <pic:blipFill>
                    <a:blip r:embed="rId8"/>
                    <a:stretch>
                      <a:fillRect/>
                    </a:stretch>
                  </pic:blipFill>
                  <pic:spPr>
                    <a:xfrm>
                      <a:off x="0" y="0"/>
                      <a:ext cx="6179820" cy="3041650"/>
                    </a:xfrm>
                    <a:prstGeom prst="rect">
                      <a:avLst/>
                    </a:prstGeom>
                    <a:noFill/>
                    <a:ln w="9525">
                      <a:noFill/>
                    </a:ln>
                  </pic:spPr>
                </pic:pic>
              </a:graphicData>
            </a:graphic>
          </wp:inline>
        </w:drawing>
      </w:r>
    </w:p>
    <w:p w14:paraId="7E77134F">
      <w:pPr>
        <w:pStyle w:val="6"/>
        <w:widowControl/>
        <w:spacing w:beforeAutospacing="0" w:afterAutospacing="0" w:line="324" w:lineRule="atLeast"/>
      </w:pPr>
      <w:r>
        <w:rPr>
          <w:rStyle w:val="10"/>
          <w:rFonts w:ascii="Verdana" w:hAnsi="Verdana" w:cs="Verdana"/>
          <w:color w:val="FF8C00"/>
          <w:sz w:val="18"/>
          <w:szCs w:val="18"/>
          <w:shd w:val="clear" w:color="auto" w:fill="FEFCFD"/>
        </w:rPr>
        <w:t>Product Overview</w:t>
      </w:r>
    </w:p>
    <w:p w14:paraId="202320BB">
      <w:pPr>
        <w:pStyle w:val="6"/>
        <w:widowControl/>
        <w:spacing w:beforeAutospacing="0" w:afterAutospacing="0" w:line="324" w:lineRule="atLeast"/>
      </w:pPr>
      <w:r>
        <w:rPr>
          <w:rFonts w:hint="eastAsia" w:ascii="Verdana" w:hAnsi="Verdana" w:cs="Verdana"/>
          <w:color w:val="333333"/>
          <w:sz w:val="18"/>
          <w:szCs w:val="18"/>
          <w:shd w:val="clear" w:color="auto" w:fill="FEFCFD"/>
          <w:lang w:eastAsia="zh-CN"/>
        </w:rPr>
        <w:t>The FMUSER FUQ-4349S is an 8-in-1 FM receiver that captures FM audio and outputs via ASI and IP ports. It compresses audio into digital TS streams using MPEG1 Layer 2 encoding. Features LCD/keyboard control and web-based NMS for management. Ideal for professional audio distribution in HFC or terrestrial systems, integrating with STBs or TVs.</w:t>
      </w:r>
      <w:r>
        <w:rPr>
          <w:rFonts w:ascii="Verdana" w:hAnsi="Verdana" w:cs="Verdana"/>
          <w:color w:val="333333"/>
          <w:sz w:val="18"/>
          <w:szCs w:val="18"/>
          <w:shd w:val="clear" w:color="auto" w:fill="FEFCFD"/>
        </w:rPr>
        <w:t>Each antenna receives two audios and this unit can maximally process 8 audios. In addition, it is equipped with one ASI input port as well for Audio/Video re-mux. It is featured to operators with its high capacity and integration.</w:t>
      </w:r>
    </w:p>
    <w:p w14:paraId="42700EAF">
      <w:pPr>
        <w:pStyle w:val="6"/>
        <w:widowControl/>
        <w:spacing w:beforeAutospacing="0" w:afterAutospacing="0" w:line="324" w:lineRule="atLeast"/>
        <w:ind w:left="424"/>
      </w:pPr>
      <w:r>
        <w:rPr>
          <w:rFonts w:ascii="Verdana" w:hAnsi="Verdana" w:cs="Verdana"/>
          <w:color w:val="333333"/>
          <w:sz w:val="18"/>
          <w:szCs w:val="18"/>
          <w:shd w:val="clear" w:color="auto" w:fill="FEFCFD"/>
        </w:rPr>
        <w:t> </w:t>
      </w:r>
    </w:p>
    <w:p w14:paraId="331B9060">
      <w:pPr>
        <w:pStyle w:val="6"/>
        <w:widowControl/>
        <w:spacing w:beforeAutospacing="0" w:afterAutospacing="0" w:line="324" w:lineRule="atLeast"/>
        <w:rPr>
          <w:rFonts w:hint="eastAsia" w:eastAsiaTheme="minorEastAsia"/>
          <w:lang w:eastAsia="zh-CN"/>
        </w:rPr>
      </w:pPr>
      <w:r>
        <w:rPr>
          <w:rStyle w:val="10"/>
          <w:rFonts w:hint="eastAsia" w:ascii="Verdana" w:hAnsi="Verdana" w:cs="Verdana"/>
          <w:color w:val="FF8C00"/>
          <w:sz w:val="18"/>
          <w:szCs w:val="18"/>
          <w:shd w:val="clear" w:color="auto" w:fill="FEFCFD"/>
          <w:lang w:eastAsia="zh-CN"/>
        </w:rPr>
        <w:t>Key feature</w:t>
      </w:r>
    </w:p>
    <w:p w14:paraId="71C156FB">
      <w:pPr>
        <w:pStyle w:val="6"/>
        <w:widowControl/>
        <w:spacing w:beforeAutospacing="0" w:afterAutospacing="0" w:line="324" w:lineRule="atLeast"/>
        <w:rPr>
          <w:rFonts w:hint="eastAsia" w:ascii="Verdana" w:hAnsi="Verdana" w:cs="Verdana"/>
          <w:color w:val="333333"/>
          <w:sz w:val="18"/>
          <w:szCs w:val="18"/>
          <w:shd w:val="clear" w:color="auto" w:fill="FEFCFD"/>
          <w:lang w:eastAsia="zh-CN"/>
        </w:rPr>
      </w:pPr>
      <w:r>
        <w:rPr>
          <w:rFonts w:hint="eastAsia" w:ascii="Verdana" w:hAnsi="Verdana" w:cs="Verdana"/>
          <w:color w:val="333333"/>
          <w:sz w:val="18"/>
          <w:szCs w:val="18"/>
          <w:shd w:val="clear" w:color="auto" w:fill="FEFCFD"/>
          <w:lang w:eastAsia="zh-CN"/>
        </w:rPr>
        <w:t xml:space="preserve">Supports reception of 8 FM audio channels via 4 antennas for dual-audio capability.  </w:t>
      </w:r>
    </w:p>
    <w:p w14:paraId="7F103F98">
      <w:pPr>
        <w:pStyle w:val="6"/>
        <w:widowControl/>
        <w:spacing w:beforeAutospacing="0" w:afterAutospacing="0" w:line="324" w:lineRule="atLeast"/>
        <w:rPr>
          <w:rFonts w:hint="eastAsia" w:ascii="Verdana" w:hAnsi="Verdana" w:cs="Verdana"/>
          <w:color w:val="333333"/>
          <w:sz w:val="18"/>
          <w:szCs w:val="18"/>
          <w:shd w:val="clear" w:color="auto" w:fill="FEFCFD"/>
          <w:lang w:eastAsia="zh-CN"/>
        </w:rPr>
      </w:pPr>
      <w:r>
        <w:rPr>
          <w:rFonts w:hint="eastAsia" w:ascii="Verdana" w:hAnsi="Verdana" w:cs="Verdana"/>
          <w:color w:val="333333"/>
          <w:sz w:val="18"/>
          <w:szCs w:val="18"/>
          <w:shd w:val="clear" w:color="auto" w:fill="FEFCFD"/>
          <w:lang w:eastAsia="zh-CN"/>
        </w:rPr>
        <w:t xml:space="preserve">Features ASI input for Audio/Video re-mux and remultiplexing.  </w:t>
      </w:r>
    </w:p>
    <w:p w14:paraId="5BC274E3">
      <w:pPr>
        <w:pStyle w:val="6"/>
        <w:widowControl/>
        <w:spacing w:beforeAutospacing="0" w:afterAutospacing="0" w:line="324" w:lineRule="atLeast"/>
        <w:rPr>
          <w:rFonts w:hint="eastAsia" w:ascii="Verdana" w:hAnsi="Verdana" w:cs="Verdana"/>
          <w:color w:val="333333"/>
          <w:sz w:val="18"/>
          <w:szCs w:val="18"/>
          <w:shd w:val="clear" w:color="auto" w:fill="FEFCFD"/>
          <w:lang w:eastAsia="zh-CN"/>
        </w:rPr>
      </w:pPr>
      <w:r>
        <w:rPr>
          <w:rFonts w:hint="eastAsia" w:ascii="Verdana" w:hAnsi="Verdana" w:cs="Verdana"/>
          <w:color w:val="333333"/>
          <w:sz w:val="18"/>
          <w:szCs w:val="18"/>
          <w:shd w:val="clear" w:color="auto" w:fill="FEFCFD"/>
          <w:lang w:eastAsia="zh-CN"/>
        </w:rPr>
        <w:t xml:space="preserve">Provides MPEG1 Layer 2 audio encoding with adjustable bit-rates and volume control.  </w:t>
      </w:r>
    </w:p>
    <w:p w14:paraId="3E39ADE7">
      <w:pPr>
        <w:pStyle w:val="6"/>
        <w:widowControl/>
        <w:spacing w:beforeAutospacing="0" w:afterAutospacing="0" w:line="324" w:lineRule="atLeast"/>
        <w:rPr>
          <w:rFonts w:hint="eastAsia" w:ascii="Verdana" w:hAnsi="Verdana" w:cs="Verdana"/>
          <w:color w:val="333333"/>
          <w:sz w:val="18"/>
          <w:szCs w:val="18"/>
          <w:shd w:val="clear" w:color="auto" w:fill="FEFCFD"/>
          <w:lang w:eastAsia="zh-CN"/>
        </w:rPr>
      </w:pPr>
      <w:r>
        <w:rPr>
          <w:rFonts w:hint="eastAsia" w:ascii="Verdana" w:hAnsi="Verdana" w:cs="Verdana"/>
          <w:color w:val="333333"/>
          <w:sz w:val="18"/>
          <w:szCs w:val="18"/>
          <w:shd w:val="clear" w:color="auto" w:fill="FEFCFD"/>
          <w:lang w:eastAsia="zh-CN"/>
        </w:rPr>
        <w:t xml:space="preserve">Offers 2 ASI mirrored outputs and IP output over UDP/RTP for versatile distribution.  </w:t>
      </w:r>
    </w:p>
    <w:p w14:paraId="1A3D9115">
      <w:pPr>
        <w:pStyle w:val="6"/>
        <w:widowControl/>
        <w:spacing w:beforeAutospacing="0" w:afterAutospacing="0" w:line="324" w:lineRule="atLeast"/>
        <w:rPr>
          <w:rFonts w:hint="eastAsia" w:ascii="Verdana" w:hAnsi="Verdana" w:cs="Verdana"/>
          <w:color w:val="333333"/>
          <w:sz w:val="18"/>
          <w:szCs w:val="18"/>
          <w:shd w:val="clear" w:color="auto" w:fill="FEFCFD"/>
          <w:lang w:eastAsia="zh-CN"/>
        </w:rPr>
      </w:pPr>
      <w:r>
        <w:rPr>
          <w:rFonts w:hint="eastAsia" w:ascii="Verdana" w:hAnsi="Verdana" w:cs="Verdana"/>
          <w:color w:val="333333"/>
          <w:sz w:val="18"/>
          <w:szCs w:val="18"/>
          <w:shd w:val="clear" w:color="auto" w:fill="FEFCFD"/>
          <w:lang w:eastAsia="zh-CN"/>
        </w:rPr>
        <w:t>Enables control via LCD/keyboard and web-based NMS for monitoring and updates.</w:t>
      </w:r>
    </w:p>
    <w:p w14:paraId="5625EA83">
      <w:pPr>
        <w:pStyle w:val="6"/>
        <w:widowControl/>
        <w:spacing w:beforeAutospacing="0" w:afterAutospacing="0" w:line="324" w:lineRule="atLeast"/>
      </w:pPr>
      <w:r>
        <w:rPr>
          <w:rStyle w:val="10"/>
          <w:rFonts w:ascii="Verdana" w:hAnsi="Verdana" w:cs="Verdana"/>
          <w:color w:val="FF8C00"/>
          <w:sz w:val="18"/>
          <w:szCs w:val="18"/>
          <w:shd w:val="clear" w:color="auto" w:fill="FEFCFD"/>
        </w:rPr>
        <w:t>Inner Principle Chart</w:t>
      </w:r>
    </w:p>
    <w:p w14:paraId="538618EE">
      <w:pPr>
        <w:pStyle w:val="6"/>
        <w:widowControl/>
        <w:spacing w:beforeAutospacing="0" w:afterAutospacing="0" w:line="324" w:lineRule="atLeast"/>
        <w:jc w:val="center"/>
      </w:pPr>
      <w:r>
        <w:rPr>
          <w:rFonts w:ascii="Verdana" w:hAnsi="Verdana" w:cs="Verdana"/>
          <w:color w:val="333333"/>
          <w:sz w:val="18"/>
          <w:szCs w:val="18"/>
          <w:shd w:val="clear" w:color="auto" w:fill="FEFCFD"/>
        </w:rPr>
        <w:drawing>
          <wp:inline distT="0" distB="0" distL="114300" distR="114300">
            <wp:extent cx="6187440" cy="3933190"/>
            <wp:effectExtent l="0" t="0" r="3810" b="10160"/>
            <wp:docPr id="3" name="图片 2" descr="IMG_257">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IMG_257"/>
                    <pic:cNvPicPr>
                      <a:picLocks noChangeAspect="1"/>
                    </pic:cNvPicPr>
                  </pic:nvPicPr>
                  <pic:blipFill>
                    <a:blip r:embed="rId10"/>
                    <a:stretch>
                      <a:fillRect/>
                    </a:stretch>
                  </pic:blipFill>
                  <pic:spPr>
                    <a:xfrm>
                      <a:off x="0" y="0"/>
                      <a:ext cx="6187440" cy="3933190"/>
                    </a:xfrm>
                    <a:prstGeom prst="rect">
                      <a:avLst/>
                    </a:prstGeom>
                    <a:noFill/>
                    <a:ln w="9525">
                      <a:noFill/>
                    </a:ln>
                  </pic:spPr>
                </pic:pic>
              </a:graphicData>
            </a:graphic>
          </wp:inline>
        </w:drawing>
      </w:r>
    </w:p>
    <w:p w14:paraId="432FF7E4">
      <w:pPr>
        <w:pStyle w:val="6"/>
        <w:widowControl/>
        <w:spacing w:beforeAutospacing="0" w:afterAutospacing="0" w:line="324" w:lineRule="atLeast"/>
      </w:pPr>
      <w:r>
        <w:rPr>
          <w:rStyle w:val="10"/>
          <w:rFonts w:ascii="Verdana" w:hAnsi="Verdana" w:cs="Verdana"/>
          <w:color w:val="FF8C00"/>
          <w:sz w:val="18"/>
          <w:szCs w:val="18"/>
          <w:shd w:val="clear" w:color="auto" w:fill="FEFCFD"/>
        </w:rPr>
        <w:t>Specifications</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1698"/>
        <w:gridCol w:w="2000"/>
        <w:gridCol w:w="6052"/>
      </w:tblGrid>
      <w:tr w14:paraId="0AF00D8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01" w:hRule="atLeast"/>
          <w:tblCellSpacing w:w="0" w:type="dxa"/>
        </w:trPr>
        <w:tc>
          <w:tcPr>
            <w:tcW w:w="1845" w:type="dxa"/>
            <w:vMerge w:val="restart"/>
            <w:shd w:val="clear" w:color="auto" w:fill="auto"/>
            <w:vAlign w:val="center"/>
          </w:tcPr>
          <w:p w14:paraId="731B10DB">
            <w:pPr>
              <w:pStyle w:val="6"/>
              <w:widowControl/>
              <w:spacing w:beforeAutospacing="0" w:afterAutospacing="0" w:line="324" w:lineRule="atLeast"/>
            </w:pPr>
            <w:r>
              <w:rPr>
                <w:rStyle w:val="10"/>
              </w:rPr>
              <w:t>FM Receiving</w:t>
            </w:r>
          </w:p>
        </w:tc>
        <w:tc>
          <w:tcPr>
            <w:tcW w:w="2415" w:type="dxa"/>
            <w:shd w:val="clear" w:color="auto" w:fill="auto"/>
            <w:vAlign w:val="center"/>
          </w:tcPr>
          <w:p w14:paraId="7C8B7B70">
            <w:pPr>
              <w:pStyle w:val="6"/>
              <w:widowControl/>
              <w:spacing w:beforeAutospacing="0" w:afterAutospacing="0" w:line="324" w:lineRule="atLeast"/>
            </w:pPr>
            <w:r>
              <w:t>Antenna Frequency</w:t>
            </w:r>
          </w:p>
        </w:tc>
        <w:tc>
          <w:tcPr>
            <w:tcW w:w="5100" w:type="dxa"/>
            <w:shd w:val="clear" w:color="auto" w:fill="auto"/>
            <w:vAlign w:val="center"/>
          </w:tcPr>
          <w:p w14:paraId="1E65A70C">
            <w:pPr>
              <w:pStyle w:val="6"/>
              <w:widowControl/>
              <w:spacing w:beforeAutospacing="0" w:afterAutospacing="0" w:line="324" w:lineRule="atLeast"/>
            </w:pPr>
            <w:r>
              <w:t>76-108 MHz</w:t>
            </w:r>
          </w:p>
        </w:tc>
      </w:tr>
      <w:tr w14:paraId="0DBCBD7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trPr>
        <w:tc>
          <w:tcPr>
            <w:tcW w:w="1845" w:type="dxa"/>
            <w:vMerge w:val="continue"/>
            <w:shd w:val="clear" w:color="auto" w:fill="auto"/>
            <w:vAlign w:val="center"/>
          </w:tcPr>
          <w:p w14:paraId="2A4057D4">
            <w:pPr>
              <w:jc w:val="left"/>
              <w:rPr>
                <w:rFonts w:ascii="宋体"/>
                <w:sz w:val="24"/>
                <w:szCs w:val="24"/>
              </w:rPr>
            </w:pPr>
          </w:p>
        </w:tc>
        <w:tc>
          <w:tcPr>
            <w:tcW w:w="2415" w:type="dxa"/>
            <w:shd w:val="clear" w:color="auto" w:fill="auto"/>
            <w:vAlign w:val="center"/>
          </w:tcPr>
          <w:p w14:paraId="0DCB3F7D">
            <w:pPr>
              <w:pStyle w:val="6"/>
              <w:widowControl/>
              <w:spacing w:beforeAutospacing="0" w:afterAutospacing="0" w:line="324" w:lineRule="atLeast"/>
            </w:pPr>
            <w:r>
              <w:t>Volume Control</w:t>
            </w:r>
          </w:p>
        </w:tc>
        <w:tc>
          <w:tcPr>
            <w:tcW w:w="5100" w:type="dxa"/>
            <w:shd w:val="clear" w:color="auto" w:fill="auto"/>
            <w:vAlign w:val="center"/>
          </w:tcPr>
          <w:p w14:paraId="575EC7E3">
            <w:pPr>
              <w:pStyle w:val="6"/>
              <w:widowControl/>
              <w:spacing w:beforeAutospacing="0" w:afterAutospacing="0" w:line="324" w:lineRule="atLeast"/>
            </w:pPr>
            <w:r>
              <w:t>0%-100%</w:t>
            </w:r>
          </w:p>
        </w:tc>
      </w:tr>
      <w:tr w14:paraId="5A996CA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0" w:hRule="atLeast"/>
          <w:tblCellSpacing w:w="0" w:type="dxa"/>
        </w:trPr>
        <w:tc>
          <w:tcPr>
            <w:tcW w:w="1845" w:type="dxa"/>
            <w:vMerge w:val="continue"/>
            <w:shd w:val="clear" w:color="auto" w:fill="auto"/>
            <w:vAlign w:val="center"/>
          </w:tcPr>
          <w:p w14:paraId="784A6D41">
            <w:pPr>
              <w:jc w:val="left"/>
              <w:rPr>
                <w:rFonts w:ascii="宋体"/>
                <w:sz w:val="24"/>
                <w:szCs w:val="24"/>
              </w:rPr>
            </w:pPr>
          </w:p>
        </w:tc>
        <w:tc>
          <w:tcPr>
            <w:tcW w:w="7515" w:type="dxa"/>
            <w:gridSpan w:val="2"/>
            <w:shd w:val="clear" w:color="auto" w:fill="auto"/>
            <w:vAlign w:val="center"/>
          </w:tcPr>
          <w:p w14:paraId="41C307AC">
            <w:pPr>
              <w:pStyle w:val="6"/>
              <w:widowControl/>
              <w:spacing w:beforeAutospacing="0" w:afterAutospacing="0" w:line="324" w:lineRule="atLeast"/>
            </w:pPr>
            <w:r>
              <w:t>FM lock status and signal quality display</w:t>
            </w:r>
          </w:p>
        </w:tc>
      </w:tr>
      <w:tr w14:paraId="64D4F57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56" w:hRule="atLeast"/>
          <w:tblCellSpacing w:w="0" w:type="dxa"/>
        </w:trPr>
        <w:tc>
          <w:tcPr>
            <w:tcW w:w="1845" w:type="dxa"/>
            <w:vMerge w:val="restart"/>
            <w:shd w:val="clear" w:color="auto" w:fill="auto"/>
            <w:vAlign w:val="center"/>
          </w:tcPr>
          <w:p w14:paraId="29576DB7">
            <w:pPr>
              <w:pStyle w:val="6"/>
              <w:widowControl/>
              <w:spacing w:beforeAutospacing="0" w:afterAutospacing="0" w:line="324" w:lineRule="atLeast"/>
            </w:pPr>
            <w:r>
              <w:rPr>
                <w:rStyle w:val="10"/>
              </w:rPr>
              <w:t>Audio Encode</w:t>
            </w:r>
          </w:p>
        </w:tc>
        <w:tc>
          <w:tcPr>
            <w:tcW w:w="2415" w:type="dxa"/>
            <w:shd w:val="clear" w:color="auto" w:fill="auto"/>
            <w:vAlign w:val="center"/>
          </w:tcPr>
          <w:p w14:paraId="6E06284F">
            <w:pPr>
              <w:pStyle w:val="6"/>
              <w:widowControl/>
              <w:spacing w:beforeAutospacing="0" w:afterAutospacing="0" w:line="324" w:lineRule="atLeast"/>
            </w:pPr>
            <w:r>
              <w:t>Encoding Format</w:t>
            </w:r>
          </w:p>
        </w:tc>
        <w:tc>
          <w:tcPr>
            <w:tcW w:w="5100" w:type="dxa"/>
            <w:shd w:val="clear" w:color="auto" w:fill="auto"/>
            <w:vAlign w:val="center"/>
          </w:tcPr>
          <w:p w14:paraId="570A098B">
            <w:pPr>
              <w:pStyle w:val="6"/>
              <w:widowControl/>
              <w:spacing w:beforeAutospacing="0" w:afterAutospacing="0" w:line="324" w:lineRule="atLeast"/>
            </w:pPr>
            <w:r>
              <w:t>MPEG1 Layer 2</w:t>
            </w:r>
          </w:p>
        </w:tc>
      </w:tr>
      <w:tr w14:paraId="02C508C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 w:hRule="atLeast"/>
          <w:tblCellSpacing w:w="0" w:type="dxa"/>
        </w:trPr>
        <w:tc>
          <w:tcPr>
            <w:tcW w:w="1845" w:type="dxa"/>
            <w:vMerge w:val="continue"/>
            <w:shd w:val="clear" w:color="auto" w:fill="auto"/>
            <w:vAlign w:val="center"/>
          </w:tcPr>
          <w:p w14:paraId="2DAD1765">
            <w:pPr>
              <w:jc w:val="left"/>
              <w:rPr>
                <w:rFonts w:ascii="宋体"/>
                <w:sz w:val="24"/>
                <w:szCs w:val="24"/>
              </w:rPr>
            </w:pPr>
          </w:p>
        </w:tc>
        <w:tc>
          <w:tcPr>
            <w:tcW w:w="2415" w:type="dxa"/>
            <w:shd w:val="clear" w:color="auto" w:fill="auto"/>
            <w:vAlign w:val="center"/>
          </w:tcPr>
          <w:p w14:paraId="59C7311D">
            <w:pPr>
              <w:pStyle w:val="6"/>
              <w:widowControl/>
              <w:spacing w:beforeAutospacing="0" w:afterAutospacing="0" w:line="324" w:lineRule="atLeast"/>
            </w:pPr>
            <w:r>
              <w:t>Audio Gain</w:t>
            </w:r>
          </w:p>
        </w:tc>
        <w:tc>
          <w:tcPr>
            <w:tcW w:w="5100" w:type="dxa"/>
            <w:shd w:val="clear" w:color="auto" w:fill="auto"/>
            <w:vAlign w:val="center"/>
          </w:tcPr>
          <w:p w14:paraId="152B5E06">
            <w:pPr>
              <w:pStyle w:val="6"/>
              <w:widowControl/>
              <w:spacing w:beforeAutospacing="0" w:afterAutospacing="0" w:line="324" w:lineRule="atLeast"/>
            </w:pPr>
            <w:r>
              <w:t>0-255</w:t>
            </w:r>
          </w:p>
        </w:tc>
      </w:tr>
      <w:tr w14:paraId="7E903E2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 w:hRule="atLeast"/>
          <w:tblCellSpacing w:w="0" w:type="dxa"/>
        </w:trPr>
        <w:tc>
          <w:tcPr>
            <w:tcW w:w="1845" w:type="dxa"/>
            <w:vMerge w:val="continue"/>
            <w:shd w:val="clear" w:color="auto" w:fill="auto"/>
            <w:vAlign w:val="center"/>
          </w:tcPr>
          <w:p w14:paraId="30B2D78D">
            <w:pPr>
              <w:jc w:val="left"/>
              <w:rPr>
                <w:rFonts w:ascii="宋体"/>
                <w:sz w:val="24"/>
                <w:szCs w:val="24"/>
              </w:rPr>
            </w:pPr>
          </w:p>
        </w:tc>
        <w:tc>
          <w:tcPr>
            <w:tcW w:w="2415" w:type="dxa"/>
            <w:shd w:val="clear" w:color="auto" w:fill="auto"/>
            <w:vAlign w:val="center"/>
          </w:tcPr>
          <w:p w14:paraId="4926ABB4">
            <w:pPr>
              <w:pStyle w:val="6"/>
              <w:widowControl/>
              <w:spacing w:beforeAutospacing="0" w:afterAutospacing="0" w:line="324" w:lineRule="atLeast"/>
            </w:pPr>
            <w:r>
              <w:t>Sampling Rate</w:t>
            </w:r>
          </w:p>
        </w:tc>
        <w:tc>
          <w:tcPr>
            <w:tcW w:w="5100" w:type="dxa"/>
            <w:shd w:val="clear" w:color="auto" w:fill="auto"/>
            <w:vAlign w:val="center"/>
          </w:tcPr>
          <w:p w14:paraId="693B8729">
            <w:pPr>
              <w:pStyle w:val="6"/>
              <w:widowControl/>
              <w:spacing w:beforeAutospacing="0" w:afterAutospacing="0" w:line="324" w:lineRule="atLeast"/>
            </w:pPr>
            <w:r>
              <w:t>48KHz</w:t>
            </w:r>
          </w:p>
        </w:tc>
      </w:tr>
      <w:tr w14:paraId="1FDCCB6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 w:hRule="atLeast"/>
          <w:tblCellSpacing w:w="0" w:type="dxa"/>
        </w:trPr>
        <w:tc>
          <w:tcPr>
            <w:tcW w:w="1845" w:type="dxa"/>
            <w:vMerge w:val="continue"/>
            <w:shd w:val="clear" w:color="auto" w:fill="auto"/>
            <w:vAlign w:val="center"/>
          </w:tcPr>
          <w:p w14:paraId="3461B543">
            <w:pPr>
              <w:jc w:val="left"/>
              <w:rPr>
                <w:rFonts w:ascii="宋体"/>
                <w:sz w:val="24"/>
                <w:szCs w:val="24"/>
              </w:rPr>
            </w:pPr>
          </w:p>
        </w:tc>
        <w:tc>
          <w:tcPr>
            <w:tcW w:w="2415" w:type="dxa"/>
            <w:shd w:val="clear" w:color="auto" w:fill="auto"/>
            <w:vAlign w:val="center"/>
          </w:tcPr>
          <w:p w14:paraId="7903A26F">
            <w:pPr>
              <w:pStyle w:val="6"/>
              <w:widowControl/>
              <w:spacing w:beforeAutospacing="0" w:afterAutospacing="0" w:line="324" w:lineRule="atLeast"/>
            </w:pPr>
            <w:r>
              <w:t>Bit-rate</w:t>
            </w:r>
          </w:p>
        </w:tc>
        <w:tc>
          <w:tcPr>
            <w:tcW w:w="5100" w:type="dxa"/>
            <w:shd w:val="clear" w:color="auto" w:fill="auto"/>
            <w:vAlign w:val="center"/>
          </w:tcPr>
          <w:p w14:paraId="088E88AD">
            <w:pPr>
              <w:pStyle w:val="6"/>
              <w:widowControl/>
              <w:spacing w:beforeAutospacing="0" w:afterAutospacing="0" w:line="324" w:lineRule="atLeast"/>
            </w:pPr>
            <w:r>
              <w:t>32/48/56/64/80/96/112/128/160/192/224/256/320/384Kb/s (each channel)</w:t>
            </w:r>
          </w:p>
        </w:tc>
      </w:tr>
      <w:tr w14:paraId="58774A1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90" w:hRule="atLeast"/>
          <w:tblCellSpacing w:w="0" w:type="dxa"/>
        </w:trPr>
        <w:tc>
          <w:tcPr>
            <w:tcW w:w="1845" w:type="dxa"/>
            <w:vMerge w:val="restart"/>
            <w:shd w:val="clear" w:color="auto" w:fill="auto"/>
            <w:vAlign w:val="center"/>
          </w:tcPr>
          <w:p w14:paraId="5198503D">
            <w:pPr>
              <w:pStyle w:val="6"/>
              <w:widowControl/>
              <w:spacing w:beforeAutospacing="0" w:afterAutospacing="0" w:line="324" w:lineRule="atLeast"/>
            </w:pPr>
            <w:r>
              <w:rPr>
                <w:rStyle w:val="10"/>
              </w:rPr>
              <w:t>Stream In/Out</w:t>
            </w:r>
          </w:p>
        </w:tc>
        <w:tc>
          <w:tcPr>
            <w:tcW w:w="7515" w:type="dxa"/>
            <w:gridSpan w:val="2"/>
            <w:shd w:val="clear" w:color="auto" w:fill="auto"/>
            <w:vAlign w:val="center"/>
          </w:tcPr>
          <w:p w14:paraId="3892616C">
            <w:pPr>
              <w:pStyle w:val="6"/>
              <w:widowControl/>
              <w:spacing w:beforeAutospacing="0" w:afterAutospacing="0" w:line="324" w:lineRule="atLeast"/>
            </w:pPr>
            <w:r>
              <w:t>1*ASI input, BNC interface</w:t>
            </w:r>
          </w:p>
        </w:tc>
      </w:tr>
      <w:tr w14:paraId="38034E0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90" w:hRule="atLeast"/>
          <w:tblCellSpacing w:w="0" w:type="dxa"/>
        </w:trPr>
        <w:tc>
          <w:tcPr>
            <w:tcW w:w="1845" w:type="dxa"/>
            <w:vMerge w:val="continue"/>
            <w:shd w:val="clear" w:color="auto" w:fill="auto"/>
            <w:vAlign w:val="center"/>
          </w:tcPr>
          <w:p w14:paraId="63CBD3EC">
            <w:pPr>
              <w:jc w:val="left"/>
              <w:rPr>
                <w:rFonts w:ascii="宋体"/>
                <w:sz w:val="24"/>
                <w:szCs w:val="24"/>
              </w:rPr>
            </w:pPr>
          </w:p>
        </w:tc>
        <w:tc>
          <w:tcPr>
            <w:tcW w:w="7515" w:type="dxa"/>
            <w:gridSpan w:val="2"/>
            <w:shd w:val="clear" w:color="auto" w:fill="auto"/>
            <w:vAlign w:val="center"/>
          </w:tcPr>
          <w:p w14:paraId="3B1A9E13">
            <w:pPr>
              <w:pStyle w:val="6"/>
              <w:widowControl/>
              <w:spacing w:beforeAutospacing="0" w:afterAutospacing="0" w:line="324" w:lineRule="atLeast"/>
            </w:pPr>
            <w:r>
              <w:t>2*ASI mirrored output, BNC interface</w:t>
            </w:r>
          </w:p>
        </w:tc>
      </w:tr>
      <w:tr w14:paraId="711323F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90" w:hRule="atLeast"/>
          <w:tblCellSpacing w:w="0" w:type="dxa"/>
        </w:trPr>
        <w:tc>
          <w:tcPr>
            <w:tcW w:w="1845" w:type="dxa"/>
            <w:vMerge w:val="continue"/>
            <w:shd w:val="clear" w:color="auto" w:fill="auto"/>
            <w:vAlign w:val="center"/>
          </w:tcPr>
          <w:p w14:paraId="3DC5F033">
            <w:pPr>
              <w:jc w:val="left"/>
              <w:rPr>
                <w:rFonts w:ascii="宋体"/>
                <w:sz w:val="24"/>
                <w:szCs w:val="24"/>
              </w:rPr>
            </w:pPr>
          </w:p>
        </w:tc>
        <w:tc>
          <w:tcPr>
            <w:tcW w:w="7515" w:type="dxa"/>
            <w:gridSpan w:val="2"/>
            <w:shd w:val="clear" w:color="auto" w:fill="auto"/>
            <w:vAlign w:val="center"/>
          </w:tcPr>
          <w:p w14:paraId="3999663C">
            <w:pPr>
              <w:pStyle w:val="6"/>
              <w:widowControl/>
              <w:spacing w:beforeAutospacing="0" w:afterAutospacing="0" w:line="324" w:lineRule="atLeast"/>
            </w:pPr>
            <w:r>
              <w:t>8*SPTS+1*MPTS over UDP/RTP, 1000M Base-T Ethernet interface (unicast/multicast) (SPTS output is for the FM input audio)</w:t>
            </w:r>
          </w:p>
        </w:tc>
      </w:tr>
      <w:tr w14:paraId="30C6A2F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trPr>
        <w:tc>
          <w:tcPr>
            <w:tcW w:w="1845" w:type="dxa"/>
            <w:vMerge w:val="restart"/>
            <w:shd w:val="clear" w:color="auto" w:fill="auto"/>
            <w:vAlign w:val="center"/>
          </w:tcPr>
          <w:p w14:paraId="57627E98">
            <w:pPr>
              <w:pStyle w:val="6"/>
              <w:widowControl/>
              <w:spacing w:beforeAutospacing="0" w:afterAutospacing="0" w:line="324" w:lineRule="atLeast"/>
            </w:pPr>
            <w:r>
              <w:rPr>
                <w:rStyle w:val="10"/>
              </w:rPr>
              <w:t>System</w:t>
            </w:r>
          </w:p>
        </w:tc>
        <w:tc>
          <w:tcPr>
            <w:tcW w:w="7515" w:type="dxa"/>
            <w:gridSpan w:val="2"/>
            <w:shd w:val="clear" w:color="auto" w:fill="auto"/>
            <w:vAlign w:val="center"/>
          </w:tcPr>
          <w:p w14:paraId="2B613F4D">
            <w:pPr>
              <w:pStyle w:val="6"/>
              <w:widowControl/>
              <w:spacing w:beforeAutospacing="0" w:afterAutospacing="0" w:line="324" w:lineRule="atLeast"/>
            </w:pPr>
            <w:r>
              <w:t>LCD/keyboard operating, web-based NMS manage</w:t>
            </w:r>
          </w:p>
        </w:tc>
      </w:tr>
      <w:tr w14:paraId="15A8FC5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Ex>
        <w:trPr>
          <w:trHeight w:val="271" w:hRule="atLeast"/>
          <w:tblCellSpacing w:w="0" w:type="dxa"/>
        </w:trPr>
        <w:tc>
          <w:tcPr>
            <w:tcW w:w="1845" w:type="dxa"/>
            <w:vMerge w:val="continue"/>
            <w:shd w:val="clear" w:color="auto" w:fill="auto"/>
            <w:vAlign w:val="center"/>
          </w:tcPr>
          <w:p w14:paraId="00559761">
            <w:pPr>
              <w:jc w:val="left"/>
              <w:rPr>
                <w:rFonts w:ascii="宋体"/>
                <w:sz w:val="24"/>
                <w:szCs w:val="24"/>
              </w:rPr>
            </w:pPr>
          </w:p>
        </w:tc>
        <w:tc>
          <w:tcPr>
            <w:tcW w:w="7515" w:type="dxa"/>
            <w:gridSpan w:val="2"/>
            <w:shd w:val="clear" w:color="auto" w:fill="auto"/>
            <w:vAlign w:val="center"/>
          </w:tcPr>
          <w:p w14:paraId="3BF98960">
            <w:pPr>
              <w:pStyle w:val="6"/>
              <w:widowControl/>
              <w:spacing w:beforeAutospacing="0" w:afterAutospacing="0" w:line="324" w:lineRule="atLeast"/>
            </w:pPr>
            <w:r>
              <w:t>Language: English/Chinese</w:t>
            </w:r>
          </w:p>
        </w:tc>
      </w:tr>
      <w:tr w14:paraId="07B75BF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41" w:hRule="atLeast"/>
          <w:tblCellSpacing w:w="0" w:type="dxa"/>
        </w:trPr>
        <w:tc>
          <w:tcPr>
            <w:tcW w:w="1845" w:type="dxa"/>
            <w:vMerge w:val="continue"/>
            <w:shd w:val="clear" w:color="auto" w:fill="auto"/>
            <w:vAlign w:val="center"/>
          </w:tcPr>
          <w:p w14:paraId="5CDCABC4">
            <w:pPr>
              <w:jc w:val="left"/>
              <w:rPr>
                <w:rFonts w:ascii="宋体"/>
                <w:sz w:val="24"/>
                <w:szCs w:val="24"/>
              </w:rPr>
            </w:pPr>
          </w:p>
        </w:tc>
        <w:tc>
          <w:tcPr>
            <w:tcW w:w="7515" w:type="dxa"/>
            <w:gridSpan w:val="2"/>
            <w:shd w:val="clear" w:color="auto" w:fill="auto"/>
            <w:vAlign w:val="center"/>
          </w:tcPr>
          <w:p w14:paraId="08B90359">
            <w:pPr>
              <w:pStyle w:val="6"/>
              <w:widowControl/>
              <w:spacing w:beforeAutospacing="0" w:afterAutospacing="0" w:line="324" w:lineRule="atLeast"/>
            </w:pPr>
            <w:r>
              <w:t>Ethernet software &amp; hardware upgrade</w:t>
            </w:r>
          </w:p>
        </w:tc>
      </w:tr>
      <w:tr w14:paraId="02CC673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16" w:hRule="atLeast"/>
          <w:tblCellSpacing w:w="0" w:type="dxa"/>
        </w:trPr>
        <w:tc>
          <w:tcPr>
            <w:tcW w:w="1845" w:type="dxa"/>
            <w:vMerge w:val="restart"/>
            <w:shd w:val="clear" w:color="auto" w:fill="auto"/>
            <w:vAlign w:val="center"/>
          </w:tcPr>
          <w:p w14:paraId="25EE00A4">
            <w:pPr>
              <w:pStyle w:val="6"/>
              <w:widowControl/>
              <w:spacing w:beforeAutospacing="0" w:afterAutospacing="0" w:line="324" w:lineRule="atLeast"/>
            </w:pPr>
            <w:r>
              <w:rPr>
                <w:rStyle w:val="10"/>
              </w:rPr>
              <w:t>Miscellaneous</w:t>
            </w:r>
          </w:p>
        </w:tc>
        <w:tc>
          <w:tcPr>
            <w:tcW w:w="2415" w:type="dxa"/>
            <w:shd w:val="clear" w:color="auto" w:fill="auto"/>
            <w:vAlign w:val="center"/>
          </w:tcPr>
          <w:p w14:paraId="11EA50D9">
            <w:pPr>
              <w:pStyle w:val="6"/>
              <w:widowControl/>
              <w:spacing w:beforeAutospacing="0" w:afterAutospacing="0" w:line="324" w:lineRule="atLeast"/>
            </w:pPr>
            <w:r>
              <w:t>Dimension</w:t>
            </w:r>
          </w:p>
        </w:tc>
        <w:tc>
          <w:tcPr>
            <w:tcW w:w="5100" w:type="dxa"/>
            <w:shd w:val="clear" w:color="auto" w:fill="auto"/>
            <w:vAlign w:val="center"/>
          </w:tcPr>
          <w:p w14:paraId="517CF147">
            <w:pPr>
              <w:pStyle w:val="6"/>
              <w:widowControl/>
              <w:spacing w:beforeAutospacing="0" w:afterAutospacing="0" w:line="324" w:lineRule="atLeast"/>
            </w:pPr>
            <w:r>
              <w:t>482mm×455mm×44mm (W× L× H)</w:t>
            </w:r>
          </w:p>
        </w:tc>
      </w:tr>
      <w:tr w14:paraId="3CDFF40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16" w:hRule="atLeast"/>
          <w:tblCellSpacing w:w="0" w:type="dxa"/>
        </w:trPr>
        <w:tc>
          <w:tcPr>
            <w:tcW w:w="1845" w:type="dxa"/>
            <w:vMerge w:val="continue"/>
            <w:shd w:val="clear" w:color="auto" w:fill="auto"/>
            <w:vAlign w:val="center"/>
          </w:tcPr>
          <w:p w14:paraId="3DF23E2A">
            <w:pPr>
              <w:jc w:val="left"/>
              <w:rPr>
                <w:rFonts w:ascii="宋体"/>
                <w:sz w:val="24"/>
                <w:szCs w:val="24"/>
              </w:rPr>
            </w:pPr>
          </w:p>
        </w:tc>
        <w:tc>
          <w:tcPr>
            <w:tcW w:w="2415" w:type="dxa"/>
            <w:shd w:val="clear" w:color="auto" w:fill="auto"/>
            <w:vAlign w:val="center"/>
          </w:tcPr>
          <w:p w14:paraId="06E75032">
            <w:pPr>
              <w:pStyle w:val="6"/>
              <w:widowControl/>
              <w:spacing w:beforeAutospacing="0" w:afterAutospacing="0" w:line="324" w:lineRule="atLeast"/>
            </w:pPr>
            <w:r>
              <w:t>Temperature</w:t>
            </w:r>
          </w:p>
        </w:tc>
        <w:tc>
          <w:tcPr>
            <w:tcW w:w="5100" w:type="dxa"/>
            <w:shd w:val="clear" w:color="auto" w:fill="auto"/>
            <w:vAlign w:val="center"/>
          </w:tcPr>
          <w:p w14:paraId="62694321">
            <w:pPr>
              <w:pStyle w:val="6"/>
              <w:widowControl/>
              <w:spacing w:beforeAutospacing="0" w:afterAutospacing="0" w:line="324" w:lineRule="atLeast"/>
            </w:pPr>
            <w:r>
              <w:t>0~45℃ (work),  -20~80℃（Storage）</w:t>
            </w:r>
          </w:p>
        </w:tc>
      </w:tr>
      <w:tr w14:paraId="0CE4CE0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0" w:hRule="atLeast"/>
          <w:tblCellSpacing w:w="0" w:type="dxa"/>
        </w:trPr>
        <w:tc>
          <w:tcPr>
            <w:tcW w:w="1845" w:type="dxa"/>
            <w:vMerge w:val="continue"/>
            <w:shd w:val="clear" w:color="auto" w:fill="auto"/>
            <w:vAlign w:val="center"/>
          </w:tcPr>
          <w:p w14:paraId="7C53C064">
            <w:pPr>
              <w:jc w:val="left"/>
              <w:rPr>
                <w:rFonts w:ascii="宋体"/>
                <w:sz w:val="24"/>
                <w:szCs w:val="24"/>
              </w:rPr>
            </w:pPr>
          </w:p>
        </w:tc>
        <w:tc>
          <w:tcPr>
            <w:tcW w:w="2415" w:type="dxa"/>
            <w:shd w:val="clear" w:color="auto" w:fill="auto"/>
            <w:vAlign w:val="center"/>
          </w:tcPr>
          <w:p w14:paraId="08B07089">
            <w:pPr>
              <w:pStyle w:val="6"/>
              <w:widowControl/>
              <w:spacing w:beforeAutospacing="0" w:afterAutospacing="0" w:line="324" w:lineRule="atLeast"/>
            </w:pPr>
            <w:r>
              <w:t>Power</w:t>
            </w:r>
          </w:p>
        </w:tc>
        <w:tc>
          <w:tcPr>
            <w:tcW w:w="5100" w:type="dxa"/>
            <w:shd w:val="clear" w:color="auto" w:fill="auto"/>
            <w:vAlign w:val="center"/>
          </w:tcPr>
          <w:p w14:paraId="6545E81B">
            <w:pPr>
              <w:pStyle w:val="6"/>
              <w:widowControl/>
              <w:spacing w:beforeAutospacing="0" w:afterAutospacing="0" w:line="324" w:lineRule="atLeast"/>
            </w:pPr>
            <w:r>
              <w:t>AC 100V-220V±10%, 50/60Hz</w:t>
            </w:r>
          </w:p>
        </w:tc>
      </w:tr>
    </w:tbl>
    <w:p w14:paraId="6C5FECF0">
      <w:pPr>
        <w:pStyle w:val="6"/>
        <w:widowControl/>
        <w:spacing w:beforeAutospacing="0" w:afterAutospacing="0" w:line="324" w:lineRule="atLeast"/>
      </w:pPr>
      <w:r>
        <w:rPr>
          <w:rFonts w:ascii="Verdana" w:hAnsi="Verdana" w:cs="Verdana"/>
          <w:color w:val="333333"/>
          <w:sz w:val="18"/>
          <w:szCs w:val="18"/>
          <w:shd w:val="clear" w:color="auto" w:fill="FEFCFD"/>
        </w:rPr>
        <w:t> </w:t>
      </w:r>
    </w:p>
    <w:p w14:paraId="49717045">
      <w:pPr>
        <w:pStyle w:val="6"/>
        <w:widowControl/>
        <w:spacing w:beforeAutospacing="0" w:afterAutospacing="0" w:line="324" w:lineRule="atLeast"/>
      </w:pPr>
      <w:r>
        <w:rPr>
          <w:rFonts w:ascii="Verdana" w:hAnsi="Verdana" w:cs="Verdana"/>
          <w:color w:val="333333"/>
          <w:sz w:val="18"/>
          <w:szCs w:val="18"/>
          <w:shd w:val="clear" w:color="auto" w:fill="FEFCFD"/>
        </w:rPr>
        <w:t> </w:t>
      </w:r>
    </w:p>
    <w:p w14:paraId="1D75F0D0">
      <w:pPr>
        <w:widowControl/>
        <w:shd w:val="clear" w:color="auto" w:fill="F2F2F4"/>
        <w:jc w:val="left"/>
        <w:rPr>
          <w:rFonts w:ascii="Verdana" w:hAnsi="Verdana" w:cs="Verdana"/>
          <w:color w:val="333333"/>
          <w:sz w:val="18"/>
          <w:szCs w:val="18"/>
        </w:rPr>
      </w:pPr>
    </w:p>
    <w:p w14:paraId="28AB9C53">
      <w:pPr>
        <w:rPr>
          <w:rFonts w:ascii="Verdana" w:hAnsi="Verdana" w:cs="Verdana"/>
          <w:color w:val="000000"/>
          <w:sz w:val="28"/>
        </w:rPr>
      </w:pPr>
    </w:p>
    <w:p w14:paraId="19B07E93">
      <w:pPr>
        <w:rPr>
          <w:rFonts w:ascii="Verdana" w:hAnsi="Verdana" w:cs="Verdana"/>
          <w:b/>
          <w:color w:val="000000"/>
          <w:sz w:val="22"/>
        </w:rPr>
      </w:pPr>
      <w:r>
        <w:rPr>
          <w:rFonts w:hint="eastAsia" w:ascii="Verdana" w:hAnsi="Verdana" w:cs="Verdana"/>
          <w:b/>
          <w:color w:val="000000"/>
          <w:sz w:val="22"/>
        </w:rPr>
        <w:t>About Us</w:t>
      </w:r>
    </w:p>
    <w:p w14:paraId="5AB060BF">
      <w:pPr>
        <w:rPr>
          <w:rFonts w:ascii="Verdana" w:hAnsi="Verdana" w:cs="Verdana"/>
          <w:color w:val="000000"/>
          <w:sz w:val="18"/>
        </w:rPr>
      </w:pPr>
      <w:r>
        <w:rPr>
          <w:rFonts w:hint="eastAsia" w:ascii="Verdana" w:hAnsi="Verdana" w:cs="Verdana"/>
          <w:color w:val="000000"/>
          <w:sz w:val="18"/>
        </w:rPr>
        <w:t xml:space="preserve">  FMUSER is a company specializing in broadcasting and television transmission systems and integrating hotel IPTV systems. The company was established in 2009 and has served over 180 countries worldwide. More than 20,000 television stations, radio stations, and hotel clients from different.</w:t>
      </w:r>
    </w:p>
    <w:p w14:paraId="403D481A">
      <w:pPr>
        <w:rPr>
          <w:rFonts w:ascii="Verdana" w:hAnsi="Verdana" w:cs="Verdana"/>
          <w:color w:val="000000"/>
          <w:sz w:val="18"/>
        </w:rPr>
      </w:pPr>
    </w:p>
    <w:p w14:paraId="6712C0E4">
      <w:pPr>
        <w:rPr>
          <w:rFonts w:ascii="Verdana" w:hAnsi="Verdana" w:cs="Verdana"/>
          <w:color w:val="000000"/>
          <w:sz w:val="18"/>
        </w:rPr>
      </w:pPr>
      <w:r>
        <w:rPr>
          <w:rFonts w:hint="eastAsia" w:ascii="Verdana" w:hAnsi="Verdana" w:cs="Verdana"/>
          <w:color w:val="000000"/>
          <w:sz w:val="18"/>
        </w:rPr>
        <w:t xml:space="preserve">   Contact:Tomleequan    Email：sales@fmuser.com    whatsapp: +8613922702227</w:t>
      </w:r>
    </w:p>
    <w:sectPr>
      <w:headerReference r:id="rId3" w:type="default"/>
      <w:footerReference r:id="rId4"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973A67">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59264" behindDoc="0" locked="0" layoutInCell="1" allowOverlap="1">
          <wp:simplePos x="0" y="0"/>
          <wp:positionH relativeFrom="column">
            <wp:posOffset>8255</wp:posOffset>
          </wp:positionH>
          <wp:positionV relativeFrom="paragraph">
            <wp:posOffset>-86360</wp:posOffset>
          </wp:positionV>
          <wp:extent cx="903605" cy="346075"/>
          <wp:effectExtent l="0" t="0" r="10795" b="0"/>
          <wp:wrapNone/>
          <wp:docPr id="4"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muser标志1.png"/>
                  <pic:cNvPicPr>
                    <a:picLocks noChangeAspect="1" noChangeArrowheads="1"/>
                  </pic:cNvPicPr>
                </pic:nvPicPr>
                <pic:blipFill>
                  <a:blip r:embed="rId1"/>
                  <a:srcRect/>
                  <a:stretch>
                    <a:fillRect/>
                  </a:stretch>
                </pic:blipFill>
                <pic:spPr>
                  <a:xfrm>
                    <a:off x="0" y="0"/>
                    <a:ext cx="903605" cy="346075"/>
                  </a:xfrm>
                  <a:prstGeom prst="rect">
                    <a:avLst/>
                  </a:prstGeom>
                  <a:noFill/>
                  <a:ln w="9525">
                    <a:noFill/>
                    <a:miter lim="800000"/>
                    <a:headEnd/>
                    <a:tailEnd/>
                  </a:ln>
                </pic:spPr>
              </pic:pic>
            </a:graphicData>
          </a:graphic>
        </wp:anchor>
      </w:drawing>
    </w:r>
    <w:r>
      <w:rPr>
        <w:rFonts w:ascii="微软雅黑" w:hAnsi="微软雅黑" w:eastAsia="微软雅黑"/>
      </w:rPr>
      <w:pict>
        <v:shape id="_x0000_s1026" o:spid="_x0000_s1026" o:spt="136" type="#_x0000_t136" style="position:absolute;left:0pt;margin-left:-6.85pt;margin-top:331pt;height:71.25pt;width:525pt;mso-position-horizontal-relative:margin;mso-position-vertical-relative:margin;rotation:20643840f;z-index:-251656192;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rPr>
        <w:rFonts w:hint="eastAsia" w:ascii="微软雅黑" w:hAnsi="微软雅黑" w:eastAsia="微软雅黑"/>
      </w:rPr>
      <w:fldChar w:fldCharType="begin"/>
    </w:r>
    <w:r>
      <w:rPr>
        <w:rFonts w:hint="eastAsia" w:ascii="微软雅黑" w:hAnsi="微软雅黑" w:eastAsia="微软雅黑"/>
      </w:rPr>
      <w:instrText xml:space="preserve"> HYPERLINK "mailto:sales@fmuser.com"</w:instrText>
    </w:r>
    <w:r>
      <w:rPr>
        <w:rFonts w:hint="eastAsia" w:ascii="微软雅黑" w:hAnsi="微软雅黑" w:eastAsia="微软雅黑"/>
      </w:rPr>
      <w:fldChar w:fldCharType="separate"/>
    </w:r>
    <w:r>
      <w:rPr>
        <w:rStyle w:val="12"/>
        <w:rFonts w:hint="eastAsia" w:ascii="微软雅黑" w:hAnsi="微软雅黑" w:eastAsia="微软雅黑"/>
      </w:rPr>
      <w:t>sales@fmuser.com</w:t>
    </w:r>
    <w:r>
      <w:rPr>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p w14:paraId="76806E84">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2CAC95">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61312" behindDoc="0" locked="0" layoutInCell="1" allowOverlap="1">
          <wp:simplePos x="0" y="0"/>
          <wp:positionH relativeFrom="column">
            <wp:posOffset>8255</wp:posOffset>
          </wp:positionH>
          <wp:positionV relativeFrom="paragraph">
            <wp:posOffset>-64135</wp:posOffset>
          </wp:positionV>
          <wp:extent cx="846455" cy="323850"/>
          <wp:effectExtent l="0" t="0" r="10795" b="0"/>
          <wp:wrapNone/>
          <wp:docPr id="5"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Fmuser标志1.png"/>
                  <pic:cNvPicPr>
                    <a:picLocks noChangeAspect="1" noChangeArrowheads="1"/>
                  </pic:cNvPicPr>
                </pic:nvPicPr>
                <pic:blipFill>
                  <a:blip r:embed="rId1"/>
                  <a:srcRect/>
                  <a:stretch>
                    <a:fillRect/>
                  </a:stretch>
                </pic:blipFill>
                <pic:spPr>
                  <a:xfrm>
                    <a:off x="0" y="0"/>
                    <a:ext cx="846455" cy="323850"/>
                  </a:xfrm>
                  <a:prstGeom prst="rect">
                    <a:avLst/>
                  </a:prstGeom>
                  <a:noFill/>
                  <a:ln w="9525">
                    <a:noFill/>
                    <a:miter lim="800000"/>
                    <a:headEnd/>
                    <a:tailEnd/>
                  </a:ln>
                </pic:spPr>
              </pic:pic>
            </a:graphicData>
          </a:graphic>
        </wp:anchor>
      </w:drawing>
    </w:r>
    <w:r>
      <w:rPr>
        <w:rFonts w:ascii="微软雅黑" w:hAnsi="微软雅黑" w:eastAsia="微软雅黑"/>
      </w:rPr>
      <w:pict>
        <v:shape id="_x0000_s1027" o:spid="_x0000_s1027" o:spt="136" type="#_x0000_t136" style="position:absolute;left:0pt;margin-left:-6.85pt;margin-top:331pt;height:71.25pt;width:525pt;mso-position-horizontal-relative:margin;mso-position-vertical-relative:margin;rotation:20643840f;z-index:-251654144;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rPr>
        <w:rFonts w:hint="eastAsia" w:ascii="微软雅黑" w:hAnsi="微软雅黑" w:eastAsia="微软雅黑"/>
      </w:rPr>
      <w:fldChar w:fldCharType="begin"/>
    </w:r>
    <w:r>
      <w:rPr>
        <w:rFonts w:hint="eastAsia" w:ascii="微软雅黑" w:hAnsi="微软雅黑" w:eastAsia="微软雅黑"/>
      </w:rPr>
      <w:instrText xml:space="preserve"> HYPERLINK "mailto:sales@fmuser.com"</w:instrText>
    </w:r>
    <w:r>
      <w:rPr>
        <w:rFonts w:hint="eastAsia" w:ascii="微软雅黑" w:hAnsi="微软雅黑" w:eastAsia="微软雅黑"/>
      </w:rPr>
      <w:fldChar w:fldCharType="separate"/>
    </w:r>
    <w:r>
      <w:rPr>
        <w:rStyle w:val="12"/>
        <w:rFonts w:hint="eastAsia" w:ascii="微软雅黑" w:hAnsi="微软雅黑" w:eastAsia="微软雅黑"/>
      </w:rPr>
      <w:t>sales@fmuser.com</w:t>
    </w:r>
    <w:r>
      <w:rPr>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8D6808"/>
    <w:rsid w:val="00020F1A"/>
    <w:rsid w:val="0004363E"/>
    <w:rsid w:val="000C61CB"/>
    <w:rsid w:val="001D0C80"/>
    <w:rsid w:val="001E63E5"/>
    <w:rsid w:val="00215238"/>
    <w:rsid w:val="00227839"/>
    <w:rsid w:val="00270F98"/>
    <w:rsid w:val="003743F3"/>
    <w:rsid w:val="003F2047"/>
    <w:rsid w:val="00444478"/>
    <w:rsid w:val="00453C05"/>
    <w:rsid w:val="00465307"/>
    <w:rsid w:val="0049468E"/>
    <w:rsid w:val="00622ACE"/>
    <w:rsid w:val="00665764"/>
    <w:rsid w:val="006B3321"/>
    <w:rsid w:val="006B7042"/>
    <w:rsid w:val="00731840"/>
    <w:rsid w:val="007349B0"/>
    <w:rsid w:val="007359E2"/>
    <w:rsid w:val="0077681E"/>
    <w:rsid w:val="008D6808"/>
    <w:rsid w:val="00952937"/>
    <w:rsid w:val="00A16F8C"/>
    <w:rsid w:val="00A35CEF"/>
    <w:rsid w:val="00AE759F"/>
    <w:rsid w:val="00AF7C10"/>
    <w:rsid w:val="00B11FEF"/>
    <w:rsid w:val="00B4381C"/>
    <w:rsid w:val="00B539FF"/>
    <w:rsid w:val="00B56E04"/>
    <w:rsid w:val="00BD4043"/>
    <w:rsid w:val="00C44FAF"/>
    <w:rsid w:val="00D24477"/>
    <w:rsid w:val="00F268A0"/>
    <w:rsid w:val="00F714FF"/>
    <w:rsid w:val="00F7593F"/>
    <w:rsid w:val="00FC60FC"/>
    <w:rsid w:val="02AC373D"/>
    <w:rsid w:val="033D434A"/>
    <w:rsid w:val="0A680B1B"/>
    <w:rsid w:val="0E714EC9"/>
    <w:rsid w:val="0FC87CEA"/>
    <w:rsid w:val="1016401E"/>
    <w:rsid w:val="101C4557"/>
    <w:rsid w:val="12B0674D"/>
    <w:rsid w:val="15C25510"/>
    <w:rsid w:val="18AE427D"/>
    <w:rsid w:val="18E81EA3"/>
    <w:rsid w:val="194C6A50"/>
    <w:rsid w:val="1B974A15"/>
    <w:rsid w:val="1CDC4CA0"/>
    <w:rsid w:val="1FCC39C5"/>
    <w:rsid w:val="20F61905"/>
    <w:rsid w:val="2199682E"/>
    <w:rsid w:val="239E3C7B"/>
    <w:rsid w:val="27B55639"/>
    <w:rsid w:val="2A752F8B"/>
    <w:rsid w:val="2B4E4DE7"/>
    <w:rsid w:val="2C665CEA"/>
    <w:rsid w:val="2E0F6BE8"/>
    <w:rsid w:val="314F3E41"/>
    <w:rsid w:val="361F6479"/>
    <w:rsid w:val="3B533162"/>
    <w:rsid w:val="45872050"/>
    <w:rsid w:val="478E224E"/>
    <w:rsid w:val="485E04E5"/>
    <w:rsid w:val="487316FE"/>
    <w:rsid w:val="49B75FAC"/>
    <w:rsid w:val="4BD03CB0"/>
    <w:rsid w:val="4E4A4BF6"/>
    <w:rsid w:val="4F8D25ED"/>
    <w:rsid w:val="51AD130D"/>
    <w:rsid w:val="540A3FAB"/>
    <w:rsid w:val="562E484B"/>
    <w:rsid w:val="56834992"/>
    <w:rsid w:val="5930748A"/>
    <w:rsid w:val="59933671"/>
    <w:rsid w:val="59FE6392"/>
    <w:rsid w:val="5AA83521"/>
    <w:rsid w:val="5EEA5249"/>
    <w:rsid w:val="609213A6"/>
    <w:rsid w:val="61BA6334"/>
    <w:rsid w:val="63C27F07"/>
    <w:rsid w:val="68AD6386"/>
    <w:rsid w:val="6D7A6503"/>
    <w:rsid w:val="6E4D7708"/>
    <w:rsid w:val="70757613"/>
    <w:rsid w:val="70B756B4"/>
    <w:rsid w:val="72FD79E5"/>
    <w:rsid w:val="73270F88"/>
    <w:rsid w:val="74455F31"/>
    <w:rsid w:val="7540100C"/>
    <w:rsid w:val="77935A18"/>
    <w:rsid w:val="7B8E7427"/>
    <w:rsid w:val="7EAE425E"/>
    <w:rsid w:val="7F0C0D57"/>
    <w:rsid w:val="7FDF1E6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5"/>
    <w:basedOn w:val="1"/>
    <w:next w:val="1"/>
    <w:semiHidden/>
    <w:unhideWhenUsed/>
    <w:qFormat/>
    <w:uiPriority w:val="9"/>
    <w:pPr>
      <w:spacing w:beforeAutospacing="1" w:afterAutospacing="1"/>
      <w:jc w:val="left"/>
      <w:outlineLvl w:val="4"/>
    </w:pPr>
    <w:rPr>
      <w:rFonts w:hint="eastAsia" w:ascii="宋体" w:hAnsi="宋体" w:eastAsia="宋体" w:cs="Times New Roman"/>
      <w:b/>
      <w:bCs/>
      <w:kern w:val="0"/>
      <w:sz w:val="20"/>
      <w:szCs w:val="20"/>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6"/>
    <w:semiHidden/>
    <w:unhideWhenUsed/>
    <w:qFormat/>
    <w:uiPriority w:val="99"/>
    <w:rPr>
      <w:sz w:val="18"/>
      <w:szCs w:val="18"/>
    </w:rPr>
  </w:style>
  <w:style w:type="paragraph" w:styleId="4">
    <w:name w:val="footer"/>
    <w:basedOn w:val="1"/>
    <w:link w:val="14"/>
    <w:semiHidden/>
    <w:unhideWhenUsed/>
    <w:qFormat/>
    <w:uiPriority w:val="99"/>
    <w:pPr>
      <w:tabs>
        <w:tab w:val="center" w:pos="4153"/>
        <w:tab w:val="right" w:pos="8306"/>
      </w:tabs>
      <w:snapToGrid w:val="0"/>
      <w:jc w:val="left"/>
    </w:pPr>
    <w:rPr>
      <w:sz w:val="18"/>
      <w:szCs w:val="18"/>
    </w:rPr>
  </w:style>
  <w:style w:type="paragraph" w:styleId="5">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spacing w:beforeAutospacing="1" w:afterAutospacing="1"/>
      <w:jc w:val="left"/>
    </w:pPr>
    <w:rPr>
      <w:rFonts w:cs="Times New Roman"/>
      <w:kern w:val="0"/>
      <w:sz w:val="24"/>
    </w:rPr>
  </w:style>
  <w:style w:type="table" w:styleId="8">
    <w:name w:val="Table Grid"/>
    <w:basedOn w:val="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0">
    <w:name w:val="Strong"/>
    <w:basedOn w:val="9"/>
    <w:qFormat/>
    <w:uiPriority w:val="22"/>
    <w:rPr>
      <w:b/>
    </w:rPr>
  </w:style>
  <w:style w:type="character" w:styleId="11">
    <w:name w:val="FollowedHyperlink"/>
    <w:basedOn w:val="9"/>
    <w:semiHidden/>
    <w:unhideWhenUsed/>
    <w:qFormat/>
    <w:uiPriority w:val="99"/>
    <w:rPr>
      <w:color w:val="800080" w:themeColor="followedHyperlink"/>
      <w:u w:val="single"/>
    </w:rPr>
  </w:style>
  <w:style w:type="character" w:styleId="12">
    <w:name w:val="Hyperlink"/>
    <w:basedOn w:val="9"/>
    <w:unhideWhenUsed/>
    <w:qFormat/>
    <w:uiPriority w:val="99"/>
    <w:rPr>
      <w:color w:val="0000FF"/>
      <w:u w:val="single"/>
    </w:rPr>
  </w:style>
  <w:style w:type="character" w:customStyle="1" w:styleId="13">
    <w:name w:val="页眉 Char"/>
    <w:basedOn w:val="9"/>
    <w:link w:val="5"/>
    <w:semiHidden/>
    <w:qFormat/>
    <w:uiPriority w:val="99"/>
    <w:rPr>
      <w:sz w:val="18"/>
      <w:szCs w:val="18"/>
    </w:rPr>
  </w:style>
  <w:style w:type="character" w:customStyle="1" w:styleId="14">
    <w:name w:val="页脚 Char"/>
    <w:basedOn w:val="9"/>
    <w:link w:val="4"/>
    <w:semiHidden/>
    <w:qFormat/>
    <w:uiPriority w:val="99"/>
    <w:rPr>
      <w:sz w:val="18"/>
      <w:szCs w:val="18"/>
    </w:rPr>
  </w:style>
  <w:style w:type="paragraph" w:styleId="15">
    <w:name w:val="List Paragraph"/>
    <w:basedOn w:val="1"/>
    <w:qFormat/>
    <w:uiPriority w:val="34"/>
    <w:pPr>
      <w:ind w:firstLine="420" w:firstLineChars="200"/>
    </w:pPr>
    <w:rPr>
      <w:rFonts w:ascii="Times New Roman" w:hAnsi="Times New Roman" w:eastAsia="宋体" w:cs="Times New Roman"/>
      <w:szCs w:val="24"/>
    </w:rPr>
  </w:style>
  <w:style w:type="character" w:customStyle="1" w:styleId="16">
    <w:name w:val="批注框文本 Char"/>
    <w:basedOn w:val="9"/>
    <w:link w:val="3"/>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hyperlink" Target="https://english.dsdvb.com/Upload/images/Product/Encoder/3238R/3EEECN_20151201064603.jpg" TargetMode="External"/><Relationship Id="rId8" Type="http://schemas.openxmlformats.org/officeDocument/2006/relationships/image" Target="media/image3.jpeg"/><Relationship Id="rId7" Type="http://schemas.openxmlformats.org/officeDocument/2006/relationships/hyperlink" Target="https://english.dsdvb.com/Upload/images/Product/Encoder/3238R/3EEECN_20160120050532.jpg" TargetMode="External"/><Relationship Id="rId6" Type="http://schemas.openxmlformats.org/officeDocument/2006/relationships/image" Target="media/image2.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image" Target="media/image4.jpeg"/><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7"/>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Pages>
  <Words>325</Words>
  <Characters>1898</Characters>
  <Lines>14</Lines>
  <Paragraphs>4</Paragraphs>
  <TotalTime>27</TotalTime>
  <ScaleCrop>false</ScaleCrop>
  <LinksUpToDate>false</LinksUpToDate>
  <CharactersWithSpaces>2189</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2024-03-18T11:01:00Z</dcterms:created>
  <dc:creator>AutoBVT</dc:creator>
  <cp:lastModifiedBy>1</cp:lastModifiedBy>
  <dcterms:modified xsi:type="dcterms:W3CDTF">2025-08-20T06:42:30Z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eyJoZGlkIjoiMWY5MzNhYTQwNDc4OGVmNTg4NzE2OTM4MDFkMTQzMmUiLCJ1c2VySWQiOiI4MTk0Mzc2NzQifQ==</vt:lpwstr>
  </property>
  <property fmtid="{D5CDD505-2E9C-101B-9397-08002B2CF9AE}" pid="3" name="KSOProductBuildVer">
    <vt:lpwstr>2052-12.1.0.22529</vt:lpwstr>
  </property>
  <property fmtid="{D5CDD505-2E9C-101B-9397-08002B2CF9AE}" pid="4" name="ICV">
    <vt:lpwstr>3EA267FE38654E16AB0D6AF56450EEA5_13</vt:lpwstr>
  </property>
</Properties>
</file>