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F5DF33">
      <w:pPr>
        <w:pStyle w:val="6"/>
        <w:widowControl/>
        <w:spacing w:beforeAutospacing="0" w:afterAutospacing="0" w:line="324" w:lineRule="atLeast"/>
        <w:jc w:val="center"/>
        <w:rPr>
          <w:rFonts w:ascii="Verdana" w:hAnsi="Verdana" w:cs="Verdana"/>
          <w:b/>
          <w:color w:val="000000"/>
          <w:sz w:val="28"/>
        </w:rPr>
      </w:pPr>
      <w:bookmarkStart w:id="0" w:name="_GoBack"/>
      <w:bookmarkEnd w:id="0"/>
      <w:r>
        <w:rPr>
          <w:rFonts w:hint="eastAsia" w:ascii="Verdana" w:hAnsi="Verdana" w:cs="Verdana"/>
          <w:b/>
          <w:i w:val="0"/>
          <w:strike w:val="0"/>
          <w:color w:val="000000"/>
          <w:sz w:val="28"/>
          <w:lang w:eastAsia="zh-CN"/>
        </w:rPr>
        <w:t>FMUSER FUQ-4353B HD-SD Encoder 4 Input Channels SDI-HDMI-ASI-IP Interfaces MPEG-2 H.264 Encoding ASI Re-multiplexing Broadcast Headend System</w:t>
      </w:r>
    </w:p>
    <w:p w14:paraId="5644713D">
      <w:pPr>
        <w:pStyle w:val="6"/>
        <w:widowControl/>
        <w:spacing w:beforeAutospacing="0" w:afterAutospacing="0" w:line="324" w:lineRule="atLeast"/>
        <w:jc w:val="left"/>
      </w:pPr>
      <w:r>
        <w:rPr>
          <w:rFonts w:ascii="Verdana" w:hAnsi="Verdana" w:cs="Verdana"/>
          <w:color w:val="000000"/>
          <w:sz w:val="28"/>
        </w:rPr>
        <w:drawing>
          <wp:inline distT="0" distB="0" distL="114300" distR="114300">
            <wp:extent cx="6172200" cy="3390900"/>
            <wp:effectExtent l="0" t="0" r="0" b="0"/>
            <wp:docPr id="1" name="图片 1" descr="3EEECN_20221109145433"/>
            <wp:cNvGraphicFramePr/>
            <a:graphic xmlns:a="http://schemas.openxmlformats.org/drawingml/2006/main">
              <a:graphicData uri="http://schemas.openxmlformats.org/drawingml/2006/picture">
                <pic:pic xmlns:pic="http://schemas.openxmlformats.org/drawingml/2006/picture">
                  <pic:nvPicPr>
                    <pic:cNvPr id="1" name="图片 1" descr="3EEECN_20221109145433"/>
                    <pic:cNvPicPr/>
                  </pic:nvPicPr>
                  <pic:blipFill>
                    <a:blip r:embed="rId6"/>
                    <a:stretch>
                      <a:fillRect/>
                    </a:stretch>
                  </pic:blipFill>
                  <pic:spPr>
                    <a:xfrm>
                      <a:off x="0" y="0"/>
                      <a:ext cx="6172200" cy="3390900"/>
                    </a:xfrm>
                    <a:prstGeom prst="rect">
                      <a:avLst/>
                    </a:prstGeom>
                  </pic:spPr>
                </pic:pic>
              </a:graphicData>
            </a:graphic>
          </wp:inline>
        </w:drawing>
      </w:r>
      <w:r>
        <w:rPr>
          <w:rStyle w:val="10"/>
          <w:rFonts w:ascii="Verdana" w:hAnsi="Verdana" w:cs="Verdana"/>
          <w:color w:val="FF8C00"/>
          <w:sz w:val="20"/>
          <w:szCs w:val="20"/>
          <w:shd w:val="clear" w:color="auto" w:fill="FEFCFD"/>
        </w:rPr>
        <w:t>Product Overview</w:t>
      </w:r>
    </w:p>
    <w:p w14:paraId="0805F557">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FMUSER FUQ-4353B is a professional HD/SD encoder supporting MPEG-2 and H.264 video encoding with four SDI or HDMI inputs. It processes signals by encoding and re-multiplexing into MPTS or SPTS, outputting via ASI and IP. Featuring a modular drawer design, it is ideal for broadcast, cable TV, and streaming applications.</w:t>
      </w:r>
      <w:r>
        <w:rPr>
          <w:rFonts w:ascii="Verdana" w:hAnsi="Verdana" w:cs="Verdana"/>
          <w:color w:val="333333"/>
          <w:sz w:val="18"/>
          <w:szCs w:val="18"/>
          <w:shd w:val="clear" w:color="auto" w:fill="FEFCFD"/>
        </w:rPr>
        <w:t>HDMI inputs supporting MPEG‐2 and MPEG‐4 AVC/H.264 video encoding and</w:t>
      </w:r>
    </w:p>
    <w:p w14:paraId="7ACB93B0">
      <w:pPr>
        <w:pStyle w:val="6"/>
        <w:widowControl/>
        <w:spacing w:beforeAutospacing="0" w:afterAutospacing="0" w:line="324" w:lineRule="atLeast"/>
      </w:pPr>
      <w:r>
        <w:rPr>
          <w:rFonts w:ascii="Verdana" w:hAnsi="Verdana" w:cs="Verdana"/>
          <w:color w:val="333333"/>
          <w:sz w:val="18"/>
          <w:szCs w:val="18"/>
          <w:shd w:val="clear" w:color="auto" w:fill="FEFCFD"/>
        </w:rPr>
        <w:t>MPEG 2, MPEG 2‐AAC, MPEG 4‐AAC and DD AC3 audio encoding. The 4 encoded programs will output through ASI and IP ports in MPTS or SPTS, and there is also one ASI in port for re-multiplexing.</w:t>
      </w:r>
    </w:p>
    <w:p w14:paraId="68D73D4E">
      <w:pPr>
        <w:pStyle w:val="6"/>
        <w:widowControl/>
        <w:spacing w:beforeAutospacing="0" w:afterAutospacing="0" w:line="324" w:lineRule="atLeast"/>
      </w:pPr>
      <w:r>
        <w:rPr>
          <w:rFonts w:ascii="Verdana" w:hAnsi="Verdana" w:cs="Verdana"/>
          <w:color w:val="333333"/>
          <w:sz w:val="18"/>
          <w:szCs w:val="18"/>
          <w:shd w:val="clear" w:color="auto" w:fill="FEFCFD"/>
        </w:rPr>
        <w:t>It adopts inner drawer‐type structural design which greatly facilitates the change of encoding modules if needed.</w:t>
      </w:r>
    </w:p>
    <w:p w14:paraId="7AF943BF">
      <w:pPr>
        <w:pStyle w:val="6"/>
        <w:widowControl/>
        <w:spacing w:beforeAutospacing="0" w:afterAutospacing="0" w:line="324" w:lineRule="atLeast"/>
      </w:pPr>
      <w:r>
        <w:rPr>
          <w:rFonts w:ascii="Verdana" w:hAnsi="Verdana" w:cs="Verdana"/>
          <w:color w:val="333333"/>
          <w:sz w:val="18"/>
          <w:szCs w:val="18"/>
          <w:shd w:val="clear" w:color="auto" w:fill="FEFCFD"/>
        </w:rPr>
        <w:t> </w:t>
      </w:r>
    </w:p>
    <w:p w14:paraId="622660EA">
      <w:pPr>
        <w:pStyle w:val="6"/>
        <w:widowControl/>
        <w:spacing w:beforeAutospacing="0" w:afterAutospacing="0" w:line="324" w:lineRule="atLeast"/>
        <w:rPr>
          <w:rFonts w:hint="eastAsia" w:ascii="Verdana" w:hAnsi="Verdana" w:cs="Verdana"/>
          <w:color w:val="333333"/>
          <w:sz w:val="18"/>
          <w:szCs w:val="18"/>
          <w:shd w:val="clear" w:color="auto" w:fill="FEFCFD"/>
        </w:rPr>
      </w:pPr>
      <w:r>
        <w:rPr>
          <w:rStyle w:val="10"/>
          <w:rFonts w:hint="eastAsia" w:ascii="Verdana" w:hAnsi="Verdana" w:cs="Verdana"/>
          <w:color w:val="FF8C00"/>
          <w:sz w:val="21"/>
          <w:szCs w:val="21"/>
          <w:shd w:val="clear" w:color="auto" w:fill="FEFCFD"/>
          <w:lang w:eastAsia="zh-CN"/>
        </w:rPr>
        <w:t>Key feature</w:t>
      </w:r>
    </w:p>
    <w:p w14:paraId="0BDD0953">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Supports MPEG2 HD/SD and MPEG4 AVC/H.264 video encoding with resolution downscale conversion  </w:t>
      </w:r>
    </w:p>
    <w:p w14:paraId="53F2EDAD">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Multiple audio encoding options: MPEG2, AAC, and AC3, including dialog normalization  </w:t>
      </w:r>
    </w:p>
    <w:p w14:paraId="36C58708">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Flexible input configurations: 4x SDI, 4x HDMI, or mixed inputs  </w:t>
      </w:r>
    </w:p>
    <w:p w14:paraId="4D227A7D">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Advanced features: low delay, closed caption support, and web-based NMS management  </w:t>
      </w:r>
    </w:p>
    <w:p w14:paraId="5C6CED23">
      <w:pPr>
        <w:pStyle w:val="6"/>
        <w:widowControl/>
        <w:spacing w:beforeAutospacing="0" w:afterAutospacing="0" w:line="324" w:lineRule="atLeast"/>
        <w:ind w:left="708"/>
      </w:pPr>
      <w:r>
        <w:rPr>
          <w:rFonts w:ascii="Verdana" w:hAnsi="Verdana" w:cs="Verdana"/>
          <w:color w:val="333333"/>
          <w:sz w:val="18"/>
          <w:szCs w:val="18"/>
          <w:shd w:val="clear" w:color="auto" w:fill="FEFCFD"/>
        </w:rPr>
        <w:t> </w:t>
      </w:r>
    </w:p>
    <w:p w14:paraId="1F728844">
      <w:pPr>
        <w:widowControl/>
        <w:shd w:val="clear" w:color="auto" w:fill="FEFCFD"/>
        <w:spacing w:line="324" w:lineRule="atLeast"/>
        <w:jc w:val="left"/>
        <w:rPr>
          <w:rFonts w:ascii="Verdana" w:hAnsi="Verdana" w:cs="Verdana"/>
          <w:color w:val="333333"/>
          <w:sz w:val="18"/>
          <w:szCs w:val="18"/>
        </w:rPr>
      </w:pPr>
      <w:r>
        <w:rPr>
          <w:rStyle w:val="10"/>
          <w:rFonts w:ascii="Verdana" w:hAnsi="Verdana" w:eastAsia="宋体" w:cs="Verdana"/>
          <w:color w:val="FFA500"/>
          <w:kern w:val="0"/>
          <w:szCs w:val="21"/>
          <w:shd w:val="clear" w:color="auto" w:fill="FEFCFD"/>
        </w:rPr>
        <w:t>Principle Chart</w:t>
      </w:r>
    </w:p>
    <w:p w14:paraId="7DEF3EB0">
      <w:pPr>
        <w:widowControl/>
        <w:shd w:val="clear" w:color="auto" w:fill="FEFCFD"/>
        <w:spacing w:line="324" w:lineRule="atLeast"/>
        <w:jc w:val="left"/>
        <w:rPr>
          <w:rFonts w:ascii="Verdana" w:hAnsi="Verdana" w:cs="Verdana"/>
          <w:color w:val="333333"/>
          <w:sz w:val="18"/>
          <w:szCs w:val="18"/>
        </w:rPr>
      </w:pPr>
      <w:r>
        <w:rPr>
          <w:rFonts w:ascii="Verdana" w:hAnsi="Verdana" w:eastAsia="宋体" w:cs="Verdana"/>
          <w:color w:val="333333"/>
          <w:kern w:val="0"/>
          <w:sz w:val="18"/>
          <w:szCs w:val="18"/>
          <w:shd w:val="clear" w:color="auto" w:fill="FEFCFD"/>
        </w:rPr>
        <w:t> </w:t>
      </w:r>
    </w:p>
    <w:p w14:paraId="77DC069D">
      <w:pPr>
        <w:widowControl/>
        <w:shd w:val="clear" w:color="auto" w:fill="FEFCFD"/>
        <w:spacing w:line="324" w:lineRule="atLeast"/>
        <w:jc w:val="center"/>
        <w:rPr>
          <w:rFonts w:ascii="Verdana" w:hAnsi="Verdana" w:cs="Verdana"/>
          <w:color w:val="333333"/>
          <w:sz w:val="18"/>
          <w:szCs w:val="18"/>
        </w:rPr>
      </w:pPr>
      <w:r>
        <w:rPr>
          <w:rFonts w:ascii="Verdana" w:hAnsi="Verdana" w:eastAsia="宋体" w:cs="Verdana"/>
          <w:color w:val="333333"/>
          <w:sz w:val="18"/>
          <w:szCs w:val="18"/>
          <w:shd w:val="clear" w:color="auto" w:fill="FEFCFD"/>
        </w:rPr>
        <w:drawing>
          <wp:inline distT="0" distB="0" distL="114300" distR="114300">
            <wp:extent cx="6185535" cy="2693035"/>
            <wp:effectExtent l="0" t="0" r="5715" b="1206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5535" cy="2693035"/>
                    </a:xfrm>
                    <a:prstGeom prst="rect">
                      <a:avLst/>
                    </a:prstGeom>
                    <a:noFill/>
                    <a:ln w="9525">
                      <a:noFill/>
                    </a:ln>
                  </pic:spPr>
                </pic:pic>
              </a:graphicData>
            </a:graphic>
          </wp:inline>
        </w:drawing>
      </w:r>
    </w:p>
    <w:p w14:paraId="0EB25494">
      <w:pPr>
        <w:widowControl/>
        <w:shd w:val="clear" w:color="auto" w:fill="FEFCFD"/>
        <w:spacing w:line="324" w:lineRule="atLeast"/>
        <w:jc w:val="center"/>
        <w:rPr>
          <w:rFonts w:ascii="Verdana" w:hAnsi="Verdana" w:cs="Verdana"/>
          <w:color w:val="333333"/>
          <w:sz w:val="18"/>
          <w:szCs w:val="18"/>
        </w:rPr>
      </w:pPr>
      <w:r>
        <w:rPr>
          <w:rFonts w:ascii="Verdana" w:hAnsi="Verdana" w:eastAsia="宋体" w:cs="Verdana"/>
          <w:color w:val="333333"/>
          <w:kern w:val="0"/>
          <w:sz w:val="18"/>
          <w:szCs w:val="18"/>
          <w:shd w:val="clear" w:color="auto" w:fill="FEFCFD"/>
        </w:rPr>
        <w:t> </w:t>
      </w:r>
    </w:p>
    <w:p w14:paraId="62B9CD2F">
      <w:pPr>
        <w:widowControl/>
        <w:shd w:val="clear" w:color="auto" w:fill="FEFCFD"/>
        <w:spacing w:line="324" w:lineRule="atLeast"/>
        <w:jc w:val="left"/>
        <w:rPr>
          <w:rFonts w:ascii="Verdana" w:hAnsi="Verdana" w:cs="Verdana"/>
          <w:color w:val="333333"/>
          <w:sz w:val="18"/>
          <w:szCs w:val="18"/>
        </w:rPr>
      </w:pPr>
      <w:r>
        <w:rPr>
          <w:rStyle w:val="10"/>
          <w:rFonts w:ascii="Verdana" w:hAnsi="Verdana" w:eastAsia="宋体" w:cs="Verdana"/>
          <w:color w:val="FF8C00"/>
          <w:kern w:val="0"/>
          <w:szCs w:val="21"/>
          <w:shd w:val="clear" w:color="auto" w:fill="FEFCFD"/>
        </w:rPr>
        <w:t>Technical Specifications</w:t>
      </w:r>
    </w:p>
    <w:p w14:paraId="5ED421BC">
      <w:pPr>
        <w:widowControl/>
        <w:shd w:val="clear" w:color="auto" w:fill="FEFCFD"/>
        <w:spacing w:line="324" w:lineRule="atLeast"/>
        <w:jc w:val="left"/>
        <w:rPr>
          <w:rFonts w:ascii="Verdana" w:hAnsi="Verdana" w:cs="Verdana"/>
          <w:color w:val="333333"/>
          <w:sz w:val="18"/>
          <w:szCs w:val="18"/>
        </w:rPr>
      </w:pPr>
      <w:r>
        <w:rPr>
          <w:rStyle w:val="10"/>
          <w:rFonts w:ascii="Arial" w:hAnsi="Arial" w:eastAsia="宋体" w:cs="Arial"/>
          <w:color w:val="002060"/>
          <w:kern w:val="0"/>
          <w:sz w:val="18"/>
          <w:szCs w:val="18"/>
          <w:shd w:val="clear" w:color="auto" w:fill="FEFCFD"/>
        </w:rPr>
        <w:t>Encoding Section</w:t>
      </w:r>
    </w:p>
    <w:p w14:paraId="656C6737">
      <w:pPr>
        <w:pStyle w:val="6"/>
        <w:widowControl/>
        <w:spacing w:beforeAutospacing="0" w:afterAutospacing="0" w:line="324" w:lineRule="atLeast"/>
        <w:rPr>
          <w:rFonts w:ascii="Arial" w:hAnsi="Arial" w:cs="Arial"/>
          <w:color w:val="000000"/>
        </w:rPr>
      </w:pPr>
      <w:r>
        <w:rPr>
          <w:rStyle w:val="10"/>
          <w:rFonts w:ascii="Arial" w:hAnsi="Arial" w:cs="Arial"/>
          <w:color w:val="000000"/>
          <w:sz w:val="18"/>
          <w:szCs w:val="18"/>
          <w:shd w:val="clear" w:color="auto" w:fill="FEFCFD"/>
        </w:rPr>
        <w:t>Video</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2919"/>
        <w:gridCol w:w="6831"/>
      </w:tblGrid>
      <w:tr w14:paraId="3AF7EE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03" w:hRule="atLeast"/>
          <w:tblCellSpacing w:w="0" w:type="dxa"/>
        </w:trPr>
        <w:tc>
          <w:tcPr>
            <w:tcW w:w="0" w:type="auto"/>
            <w:shd w:val="clear" w:color="auto" w:fill="auto"/>
            <w:vAlign w:val="center"/>
          </w:tcPr>
          <w:p w14:paraId="2890E1BE">
            <w:pPr>
              <w:pStyle w:val="6"/>
              <w:widowControl/>
              <w:spacing w:beforeAutospacing="0" w:afterAutospacing="0" w:line="324" w:lineRule="atLeast"/>
            </w:pPr>
            <w:r>
              <w:t>Encoding</w:t>
            </w:r>
          </w:p>
        </w:tc>
        <w:tc>
          <w:tcPr>
            <w:tcW w:w="0" w:type="auto"/>
            <w:shd w:val="clear" w:color="auto" w:fill="auto"/>
            <w:vAlign w:val="center"/>
          </w:tcPr>
          <w:p w14:paraId="211B41BD">
            <w:pPr>
              <w:pStyle w:val="6"/>
              <w:widowControl/>
              <w:spacing w:beforeAutospacing="0" w:afterAutospacing="0" w:line="324" w:lineRule="atLeast"/>
            </w:pPr>
            <w:r>
              <w:t>MPEG2 &amp; MPEG4 AVC/H.264</w:t>
            </w:r>
          </w:p>
        </w:tc>
      </w:tr>
      <w:tr w14:paraId="752A78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03" w:hRule="atLeast"/>
          <w:tblCellSpacing w:w="0" w:type="dxa"/>
        </w:trPr>
        <w:tc>
          <w:tcPr>
            <w:tcW w:w="0" w:type="auto"/>
            <w:shd w:val="clear" w:color="auto" w:fill="auto"/>
            <w:vAlign w:val="center"/>
          </w:tcPr>
          <w:p w14:paraId="3E494C1C">
            <w:pPr>
              <w:pStyle w:val="6"/>
              <w:widowControl/>
              <w:spacing w:beforeAutospacing="0" w:afterAutospacing="0" w:line="324" w:lineRule="atLeast"/>
            </w:pPr>
            <w:r>
              <w:t>Input</w:t>
            </w:r>
          </w:p>
        </w:tc>
        <w:tc>
          <w:tcPr>
            <w:tcW w:w="0" w:type="auto"/>
            <w:shd w:val="clear" w:color="auto" w:fill="auto"/>
            <w:vAlign w:val="center"/>
          </w:tcPr>
          <w:p w14:paraId="15FC126D">
            <w:pPr>
              <w:pStyle w:val="6"/>
              <w:widowControl/>
              <w:spacing w:beforeAutospacing="0" w:afterAutospacing="0" w:line="324" w:lineRule="atLeast"/>
            </w:pPr>
            <w:r>
              <w:t>SDI*4 or HDMI*4 + 1 ASI in</w:t>
            </w:r>
          </w:p>
        </w:tc>
      </w:tr>
      <w:tr w14:paraId="5117E8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617" w:hRule="atLeast"/>
          <w:tblCellSpacing w:w="0" w:type="dxa"/>
        </w:trPr>
        <w:tc>
          <w:tcPr>
            <w:tcW w:w="0" w:type="auto"/>
            <w:shd w:val="clear" w:color="auto" w:fill="auto"/>
            <w:vAlign w:val="center"/>
          </w:tcPr>
          <w:p w14:paraId="51435799">
            <w:pPr>
              <w:pStyle w:val="6"/>
              <w:widowControl/>
              <w:spacing w:beforeAutospacing="0" w:afterAutospacing="0" w:line="324" w:lineRule="atLeast"/>
            </w:pPr>
            <w:r>
              <w:t>Resolution</w:t>
            </w:r>
          </w:p>
        </w:tc>
        <w:tc>
          <w:tcPr>
            <w:tcW w:w="0" w:type="auto"/>
            <w:shd w:val="clear" w:color="auto" w:fill="auto"/>
            <w:vAlign w:val="center"/>
          </w:tcPr>
          <w:p w14:paraId="786E40DA">
            <w:pPr>
              <w:pStyle w:val="6"/>
              <w:widowControl/>
              <w:spacing w:beforeAutospacing="0" w:afterAutospacing="0" w:line="324" w:lineRule="atLeast"/>
            </w:pPr>
            <w:r>
              <w:t>1920*1080_60P, 1920*1080_50P, (-for MPEG4 AVC/H.264 only)</w:t>
            </w:r>
          </w:p>
          <w:p w14:paraId="32D0A6AC">
            <w:pPr>
              <w:pStyle w:val="6"/>
              <w:widowControl/>
              <w:spacing w:beforeAutospacing="0" w:afterAutospacing="0" w:line="324" w:lineRule="atLeast"/>
            </w:pPr>
            <w:r>
              <w:t>1920*1080_60i, 1920*1080_50i,</w:t>
            </w:r>
          </w:p>
          <w:p w14:paraId="4B3E500A">
            <w:pPr>
              <w:pStyle w:val="6"/>
              <w:widowControl/>
              <w:spacing w:beforeAutospacing="0" w:afterAutospacing="0" w:line="324" w:lineRule="atLeast"/>
            </w:pPr>
            <w:r>
              <w:t>1280*720_60p, 1280*720_50P</w:t>
            </w:r>
          </w:p>
          <w:p w14:paraId="28C477E8">
            <w:pPr>
              <w:pStyle w:val="6"/>
              <w:widowControl/>
              <w:spacing w:beforeAutospacing="0" w:afterAutospacing="0" w:line="324" w:lineRule="atLeast"/>
            </w:pPr>
            <w:r>
              <w:t>720*480_60i, 720*576_50i</w:t>
            </w:r>
          </w:p>
        </w:tc>
      </w:tr>
      <w:tr w14:paraId="6BA8AC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617" w:hRule="atLeast"/>
          <w:tblCellSpacing w:w="0" w:type="dxa"/>
        </w:trPr>
        <w:tc>
          <w:tcPr>
            <w:tcW w:w="0" w:type="auto"/>
            <w:shd w:val="clear" w:color="auto" w:fill="auto"/>
            <w:vAlign w:val="center"/>
          </w:tcPr>
          <w:p w14:paraId="4E39C683">
            <w:pPr>
              <w:pStyle w:val="6"/>
              <w:widowControl/>
              <w:spacing w:beforeAutospacing="0" w:afterAutospacing="0" w:line="324" w:lineRule="atLeast"/>
            </w:pPr>
            <w:r>
              <w:t>Support object resolution </w:t>
            </w:r>
          </w:p>
          <w:p w14:paraId="1B450312">
            <w:pPr>
              <w:pStyle w:val="6"/>
              <w:widowControl/>
              <w:spacing w:beforeAutospacing="0" w:afterAutospacing="0" w:line="324" w:lineRule="atLeast"/>
            </w:pPr>
            <w:r>
              <w:t>(for downscale conversion)</w:t>
            </w:r>
          </w:p>
        </w:tc>
        <w:tc>
          <w:tcPr>
            <w:tcW w:w="0" w:type="auto"/>
            <w:shd w:val="clear" w:color="auto" w:fill="auto"/>
            <w:vAlign w:val="center"/>
          </w:tcPr>
          <w:p w14:paraId="058A17D5">
            <w:pPr>
              <w:pStyle w:val="6"/>
              <w:widowControl/>
              <w:spacing w:beforeAutospacing="0" w:afterAutospacing="0" w:line="324" w:lineRule="atLeast"/>
            </w:pPr>
            <w:r>
              <w:t>1920*1080_60P, 1920*1080_50P, (-for MPEG4 AVC/H.264 only)</w:t>
            </w:r>
          </w:p>
          <w:p w14:paraId="74A3DAB1">
            <w:pPr>
              <w:pStyle w:val="6"/>
              <w:widowControl/>
              <w:spacing w:beforeAutospacing="0" w:afterAutospacing="0" w:line="324" w:lineRule="atLeast"/>
            </w:pPr>
            <w:r>
              <w:t>1440*1080_60i, 1440*1080_50i,</w:t>
            </w:r>
          </w:p>
          <w:p w14:paraId="2865604E">
            <w:pPr>
              <w:pStyle w:val="6"/>
              <w:widowControl/>
              <w:spacing w:beforeAutospacing="0" w:afterAutospacing="0" w:line="324" w:lineRule="atLeast"/>
            </w:pPr>
            <w:r>
              <w:t>1280*720_60p, 1280*720_50P</w:t>
            </w:r>
          </w:p>
          <w:p w14:paraId="583AF965">
            <w:pPr>
              <w:pStyle w:val="6"/>
              <w:widowControl/>
              <w:spacing w:beforeAutospacing="0" w:afterAutospacing="0" w:line="324" w:lineRule="atLeast"/>
            </w:pPr>
            <w:r>
              <w:t>720*480_60i, 720*576_50i</w:t>
            </w:r>
          </w:p>
        </w:tc>
      </w:tr>
      <w:tr w14:paraId="2D92C6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44" w:hRule="atLeast"/>
          <w:tblCellSpacing w:w="0" w:type="dxa"/>
        </w:trPr>
        <w:tc>
          <w:tcPr>
            <w:tcW w:w="0" w:type="auto"/>
            <w:shd w:val="clear" w:color="auto" w:fill="auto"/>
            <w:vAlign w:val="center"/>
          </w:tcPr>
          <w:p w14:paraId="5FA781DC">
            <w:pPr>
              <w:pStyle w:val="6"/>
              <w:widowControl/>
              <w:spacing w:beforeAutospacing="0" w:afterAutospacing="0" w:line="324" w:lineRule="atLeast"/>
            </w:pPr>
            <w:r>
              <w:t>Bit Rate</w:t>
            </w:r>
          </w:p>
        </w:tc>
        <w:tc>
          <w:tcPr>
            <w:tcW w:w="0" w:type="auto"/>
            <w:shd w:val="clear" w:color="auto" w:fill="auto"/>
            <w:vAlign w:val="center"/>
          </w:tcPr>
          <w:p w14:paraId="6E8B02F7">
            <w:pPr>
              <w:pStyle w:val="6"/>
              <w:widowControl/>
              <w:spacing w:beforeAutospacing="0" w:afterAutospacing="0" w:line="324" w:lineRule="atLeast"/>
            </w:pPr>
            <w:r>
              <w:t>1~19.5Mbps</w:t>
            </w:r>
          </w:p>
        </w:tc>
      </w:tr>
      <w:tr w14:paraId="4D3009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45" w:hRule="atLeast"/>
          <w:tblCellSpacing w:w="0" w:type="dxa"/>
        </w:trPr>
        <w:tc>
          <w:tcPr>
            <w:tcW w:w="0" w:type="auto"/>
            <w:shd w:val="clear" w:color="auto" w:fill="auto"/>
            <w:vAlign w:val="center"/>
          </w:tcPr>
          <w:p w14:paraId="2BEAA93A">
            <w:pPr>
              <w:pStyle w:val="6"/>
              <w:widowControl/>
              <w:spacing w:beforeAutospacing="0" w:afterAutospacing="0" w:line="324" w:lineRule="atLeast"/>
            </w:pPr>
            <w:r>
              <w:t>Chroma Sample</w:t>
            </w:r>
          </w:p>
        </w:tc>
        <w:tc>
          <w:tcPr>
            <w:tcW w:w="0" w:type="auto"/>
            <w:shd w:val="clear" w:color="auto" w:fill="auto"/>
            <w:vAlign w:val="center"/>
          </w:tcPr>
          <w:p w14:paraId="79CCB9F3">
            <w:pPr>
              <w:pStyle w:val="6"/>
              <w:widowControl/>
              <w:spacing w:beforeAutospacing="0" w:afterAutospacing="0" w:line="324" w:lineRule="atLeast"/>
            </w:pPr>
            <w:r>
              <w:t>4:2:0</w:t>
            </w:r>
          </w:p>
        </w:tc>
      </w:tr>
      <w:tr w14:paraId="021BE75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45" w:hRule="atLeast"/>
          <w:tblCellSpacing w:w="0" w:type="dxa"/>
        </w:trPr>
        <w:tc>
          <w:tcPr>
            <w:tcW w:w="0" w:type="auto"/>
            <w:shd w:val="clear" w:color="auto" w:fill="auto"/>
            <w:vAlign w:val="center"/>
          </w:tcPr>
          <w:p w14:paraId="45596A6D">
            <w:pPr>
              <w:pStyle w:val="6"/>
              <w:widowControl/>
              <w:spacing w:beforeAutospacing="0" w:afterAutospacing="0" w:line="324" w:lineRule="atLeast"/>
            </w:pPr>
            <w:r>
              <w:t>Aspect Ratio</w:t>
            </w:r>
          </w:p>
        </w:tc>
        <w:tc>
          <w:tcPr>
            <w:tcW w:w="0" w:type="auto"/>
            <w:shd w:val="clear" w:color="auto" w:fill="auto"/>
            <w:vAlign w:val="center"/>
          </w:tcPr>
          <w:p w14:paraId="200115C8">
            <w:pPr>
              <w:pStyle w:val="6"/>
              <w:widowControl/>
              <w:spacing w:beforeAutospacing="0" w:afterAutospacing="0" w:line="324" w:lineRule="atLeast"/>
            </w:pPr>
            <w:r>
              <w:t>16:9, 4:3</w:t>
            </w:r>
          </w:p>
        </w:tc>
      </w:tr>
    </w:tbl>
    <w:p w14:paraId="6D992E5D">
      <w:pPr>
        <w:pStyle w:val="6"/>
        <w:widowControl/>
        <w:spacing w:beforeAutospacing="0" w:afterAutospacing="0" w:line="324" w:lineRule="atLeast"/>
        <w:rPr>
          <w:rFonts w:ascii="Arial" w:hAnsi="Arial" w:cs="Arial"/>
          <w:color w:val="000000"/>
        </w:rPr>
      </w:pPr>
      <w:r>
        <w:rPr>
          <w:rStyle w:val="10"/>
          <w:rFonts w:ascii="Arial" w:hAnsi="Arial" w:cs="Arial"/>
          <w:color w:val="000000"/>
          <w:sz w:val="18"/>
          <w:szCs w:val="18"/>
          <w:shd w:val="clear" w:color="auto" w:fill="FEFCFD"/>
        </w:rPr>
        <w:t>Audio</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3813"/>
        <w:gridCol w:w="5937"/>
      </w:tblGrid>
      <w:tr w14:paraId="39457E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0" w:type="auto"/>
            <w:shd w:val="clear" w:color="auto" w:fill="auto"/>
            <w:vAlign w:val="center"/>
          </w:tcPr>
          <w:p w14:paraId="70D69E64">
            <w:pPr>
              <w:pStyle w:val="6"/>
              <w:widowControl/>
              <w:spacing w:beforeAutospacing="0" w:afterAutospacing="0" w:line="324" w:lineRule="atLeast"/>
            </w:pPr>
            <w:r>
              <w:t>encoding</w:t>
            </w:r>
          </w:p>
        </w:tc>
        <w:tc>
          <w:tcPr>
            <w:tcW w:w="0" w:type="auto"/>
            <w:shd w:val="clear" w:color="auto" w:fill="auto"/>
            <w:vAlign w:val="center"/>
          </w:tcPr>
          <w:p w14:paraId="329490CF">
            <w:pPr>
              <w:pStyle w:val="6"/>
              <w:widowControl/>
              <w:spacing w:beforeAutospacing="0" w:afterAutospacing="0" w:line="324" w:lineRule="atLeast"/>
            </w:pPr>
            <w:r>
              <w:t>MPEG 2, MPEG2-AAC, MPEG4-AAC, Dolby Digital AC3 (2.0)</w:t>
            </w:r>
          </w:p>
        </w:tc>
      </w:tr>
      <w:tr w14:paraId="358D20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0EFBA556">
            <w:pPr>
              <w:pStyle w:val="6"/>
              <w:widowControl/>
              <w:spacing w:beforeAutospacing="0" w:afterAutospacing="0" w:line="324" w:lineRule="atLeast"/>
            </w:pPr>
            <w:r>
              <w:t>Dialog Normalization</w:t>
            </w:r>
          </w:p>
          <w:p w14:paraId="71BF05F4">
            <w:pPr>
              <w:pStyle w:val="6"/>
              <w:widowControl/>
              <w:spacing w:beforeAutospacing="0" w:afterAutospacing="0" w:line="324" w:lineRule="atLeast"/>
            </w:pPr>
            <w:r>
              <w:t>Applicable for DD AC3 encoding only)</w:t>
            </w:r>
          </w:p>
        </w:tc>
        <w:tc>
          <w:tcPr>
            <w:tcW w:w="0" w:type="auto"/>
            <w:shd w:val="clear" w:color="auto" w:fill="auto"/>
            <w:vAlign w:val="center"/>
          </w:tcPr>
          <w:p w14:paraId="048C86E1">
            <w:pPr>
              <w:pStyle w:val="6"/>
              <w:widowControl/>
              <w:spacing w:beforeAutospacing="0" w:afterAutospacing="0" w:line="324" w:lineRule="atLeast"/>
            </w:pPr>
            <w:r>
              <w:t>-31 ~ -1 dB</w:t>
            </w:r>
          </w:p>
        </w:tc>
      </w:tr>
      <w:tr w14:paraId="327463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6F701882">
            <w:pPr>
              <w:pStyle w:val="6"/>
              <w:widowControl/>
              <w:spacing w:beforeAutospacing="0" w:afterAutospacing="0" w:line="324" w:lineRule="atLeast"/>
            </w:pPr>
            <w:r>
              <w:t>Sample rate</w:t>
            </w:r>
          </w:p>
        </w:tc>
        <w:tc>
          <w:tcPr>
            <w:tcW w:w="0" w:type="auto"/>
            <w:shd w:val="clear" w:color="auto" w:fill="auto"/>
            <w:vAlign w:val="center"/>
          </w:tcPr>
          <w:p w14:paraId="0E67A0AC">
            <w:pPr>
              <w:pStyle w:val="6"/>
              <w:widowControl/>
              <w:spacing w:beforeAutospacing="0" w:afterAutospacing="0" w:line="324" w:lineRule="atLeast"/>
            </w:pPr>
            <w:r>
              <w:t>48KHz</w:t>
            </w:r>
          </w:p>
        </w:tc>
      </w:tr>
      <w:tr w14:paraId="6547746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C9A9E67">
            <w:pPr>
              <w:pStyle w:val="6"/>
              <w:widowControl/>
              <w:spacing w:beforeAutospacing="0" w:afterAutospacing="0" w:line="324" w:lineRule="atLeast"/>
            </w:pPr>
            <w:r>
              <w:t>Bit rate</w:t>
            </w:r>
          </w:p>
        </w:tc>
        <w:tc>
          <w:tcPr>
            <w:tcW w:w="0" w:type="auto"/>
            <w:shd w:val="clear" w:color="auto" w:fill="auto"/>
            <w:vAlign w:val="center"/>
          </w:tcPr>
          <w:p w14:paraId="58C763FA">
            <w:pPr>
              <w:pStyle w:val="6"/>
              <w:widowControl/>
              <w:spacing w:beforeAutospacing="0" w:afterAutospacing="0" w:line="324" w:lineRule="atLeast"/>
            </w:pPr>
            <w:r>
              <w:t>64kbps, 96kbps,128kbps, 192kbps, 256kbps, 320kbps</w:t>
            </w:r>
          </w:p>
        </w:tc>
      </w:tr>
    </w:tbl>
    <w:p w14:paraId="10C721A3">
      <w:pPr>
        <w:pStyle w:val="6"/>
        <w:widowControl/>
        <w:spacing w:beforeAutospacing="0" w:afterAutospacing="0" w:line="324" w:lineRule="atLeast"/>
      </w:pPr>
      <w:r>
        <w:rPr>
          <w:rFonts w:ascii="Verdana" w:hAnsi="Verdana" w:cs="Verdana"/>
          <w:color w:val="333333"/>
          <w:sz w:val="18"/>
          <w:szCs w:val="18"/>
          <w:shd w:val="clear" w:color="auto" w:fill="FEFCFD"/>
        </w:rPr>
        <w:t> </w:t>
      </w:r>
    </w:p>
    <w:p w14:paraId="2C1911AA">
      <w:pPr>
        <w:pStyle w:val="6"/>
        <w:widowControl/>
        <w:spacing w:beforeAutospacing="0" w:afterAutospacing="0" w:line="324" w:lineRule="atLeast"/>
      </w:pPr>
      <w:r>
        <w:rPr>
          <w:rStyle w:val="10"/>
          <w:rFonts w:ascii="Verdana" w:hAnsi="Verdana" w:cs="Verdana"/>
          <w:color w:val="002060"/>
          <w:sz w:val="18"/>
          <w:szCs w:val="18"/>
          <w:shd w:val="clear" w:color="auto" w:fill="FEFCFD"/>
        </w:rPr>
        <w:t>System</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2791"/>
        <w:gridCol w:w="6959"/>
      </w:tblGrid>
      <w:tr w14:paraId="6BC305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5458E97">
            <w:pPr>
              <w:pStyle w:val="6"/>
              <w:widowControl/>
              <w:spacing w:beforeAutospacing="0" w:afterAutospacing="0" w:line="324" w:lineRule="atLeast"/>
            </w:pPr>
            <w:r>
              <w:t>Local interface</w:t>
            </w:r>
          </w:p>
        </w:tc>
        <w:tc>
          <w:tcPr>
            <w:tcW w:w="0" w:type="auto"/>
            <w:shd w:val="clear" w:color="auto" w:fill="auto"/>
            <w:vAlign w:val="center"/>
          </w:tcPr>
          <w:p w14:paraId="50EC4D10">
            <w:pPr>
              <w:pStyle w:val="6"/>
              <w:widowControl/>
              <w:spacing w:beforeAutospacing="0" w:afterAutospacing="0" w:line="324" w:lineRule="atLeast"/>
            </w:pPr>
            <w:r>
              <w:t>LCD + control buttons</w:t>
            </w:r>
          </w:p>
        </w:tc>
      </w:tr>
      <w:tr w14:paraId="5549FA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6A5344F1">
            <w:pPr>
              <w:pStyle w:val="6"/>
              <w:widowControl/>
              <w:spacing w:beforeAutospacing="0" w:afterAutospacing="0" w:line="324" w:lineRule="atLeast"/>
            </w:pPr>
            <w:r>
              <w:t>Remote management </w:t>
            </w:r>
          </w:p>
        </w:tc>
        <w:tc>
          <w:tcPr>
            <w:tcW w:w="0" w:type="auto"/>
            <w:shd w:val="clear" w:color="auto" w:fill="auto"/>
            <w:vAlign w:val="center"/>
          </w:tcPr>
          <w:p w14:paraId="36F2B3CA">
            <w:pPr>
              <w:pStyle w:val="6"/>
              <w:widowControl/>
              <w:spacing w:beforeAutospacing="0" w:afterAutospacing="0" w:line="324" w:lineRule="atLeast"/>
            </w:pPr>
            <w:r>
              <w:t>Web NMS</w:t>
            </w:r>
          </w:p>
        </w:tc>
      </w:tr>
      <w:tr w14:paraId="4CB42A8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A9A9F54">
            <w:pPr>
              <w:pStyle w:val="6"/>
              <w:widowControl/>
              <w:spacing w:beforeAutospacing="0" w:afterAutospacing="0" w:line="324" w:lineRule="atLeast"/>
            </w:pPr>
            <w:r>
              <w:t>Low Delay Mode</w:t>
            </w:r>
          </w:p>
        </w:tc>
        <w:tc>
          <w:tcPr>
            <w:tcW w:w="0" w:type="auto"/>
            <w:shd w:val="clear" w:color="auto" w:fill="auto"/>
            <w:vAlign w:val="center"/>
          </w:tcPr>
          <w:p w14:paraId="7429ECC1">
            <w:pPr>
              <w:pStyle w:val="6"/>
              <w:widowControl/>
              <w:spacing w:beforeAutospacing="0" w:afterAutospacing="0" w:line="324" w:lineRule="atLeast"/>
            </w:pPr>
            <w:r>
              <w:t>Normal, mode 1, mode 2, Manual</w:t>
            </w:r>
          </w:p>
        </w:tc>
      </w:tr>
      <w:tr w14:paraId="29D64C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CB30643">
            <w:pPr>
              <w:pStyle w:val="6"/>
              <w:widowControl/>
              <w:spacing w:beforeAutospacing="0" w:afterAutospacing="0" w:line="324" w:lineRule="atLeast"/>
            </w:pPr>
            <w:r>
              <w:t>output</w:t>
            </w:r>
          </w:p>
        </w:tc>
        <w:tc>
          <w:tcPr>
            <w:tcW w:w="0" w:type="auto"/>
            <w:shd w:val="clear" w:color="auto" w:fill="auto"/>
            <w:vAlign w:val="center"/>
          </w:tcPr>
          <w:p w14:paraId="4217E822">
            <w:pPr>
              <w:pStyle w:val="6"/>
              <w:widowControl/>
              <w:spacing w:beforeAutospacing="0" w:afterAutospacing="0" w:line="324" w:lineRule="atLeast"/>
            </w:pPr>
            <w:r>
              <w:t>2*ASI out (BNC type, mirror ports/the same one TS);</w:t>
            </w:r>
          </w:p>
          <w:p w14:paraId="6B2D868E">
            <w:pPr>
              <w:pStyle w:val="6"/>
              <w:widowControl/>
              <w:spacing w:beforeAutospacing="0" w:afterAutospacing="0" w:line="324" w:lineRule="atLeast"/>
            </w:pPr>
            <w:r>
              <w:t>IP (1 MPTS &amp; 4 SPTS) over UDP, RTP/RTSP (RJ45, 1000M)</w:t>
            </w:r>
          </w:p>
        </w:tc>
      </w:tr>
      <w:tr w14:paraId="045FB34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E2791B5">
            <w:pPr>
              <w:pStyle w:val="6"/>
              <w:widowControl/>
              <w:spacing w:beforeAutospacing="0" w:afterAutospacing="0" w:line="324" w:lineRule="atLeast"/>
            </w:pPr>
            <w:r>
              <w:t>NMS interface</w:t>
            </w:r>
          </w:p>
        </w:tc>
        <w:tc>
          <w:tcPr>
            <w:tcW w:w="0" w:type="auto"/>
            <w:shd w:val="clear" w:color="auto" w:fill="auto"/>
            <w:vAlign w:val="center"/>
          </w:tcPr>
          <w:p w14:paraId="3F097EEB">
            <w:pPr>
              <w:pStyle w:val="6"/>
              <w:widowControl/>
              <w:spacing w:beforeAutospacing="0" w:afterAutospacing="0" w:line="324" w:lineRule="atLeast"/>
            </w:pPr>
            <w:r>
              <w:t>RJ45, 100M</w:t>
            </w:r>
          </w:p>
        </w:tc>
      </w:tr>
      <w:tr w14:paraId="45AB37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58701CC8">
            <w:pPr>
              <w:pStyle w:val="6"/>
              <w:widowControl/>
              <w:spacing w:beforeAutospacing="0" w:afterAutospacing="0" w:line="324" w:lineRule="atLeast"/>
            </w:pPr>
            <w:r>
              <w:t>Language</w:t>
            </w:r>
          </w:p>
        </w:tc>
        <w:tc>
          <w:tcPr>
            <w:tcW w:w="0" w:type="auto"/>
            <w:shd w:val="clear" w:color="auto" w:fill="auto"/>
            <w:vAlign w:val="center"/>
          </w:tcPr>
          <w:p w14:paraId="51DD701B">
            <w:pPr>
              <w:pStyle w:val="6"/>
              <w:widowControl/>
              <w:spacing w:beforeAutospacing="0" w:afterAutospacing="0" w:line="324" w:lineRule="atLeast"/>
            </w:pPr>
            <w:r>
              <w:t>English</w:t>
            </w:r>
          </w:p>
        </w:tc>
      </w:tr>
    </w:tbl>
    <w:p w14:paraId="0B5DF3D9">
      <w:pPr>
        <w:pStyle w:val="6"/>
        <w:widowControl/>
        <w:spacing w:beforeAutospacing="0" w:afterAutospacing="0" w:line="324" w:lineRule="atLeast"/>
        <w:rPr>
          <w:rFonts w:ascii="Arial" w:hAnsi="Arial" w:cs="Arial"/>
          <w:color w:val="000000"/>
        </w:rPr>
      </w:pPr>
      <w:r>
        <w:rPr>
          <w:rFonts w:ascii="Arial" w:hAnsi="Arial" w:cs="Arial"/>
          <w:color w:val="000000"/>
          <w:sz w:val="18"/>
          <w:szCs w:val="18"/>
          <w:shd w:val="clear" w:color="auto" w:fill="FEFCFD"/>
        </w:rPr>
        <w:t> </w:t>
      </w:r>
    </w:p>
    <w:p w14:paraId="304EFE27">
      <w:pPr>
        <w:pStyle w:val="6"/>
        <w:widowControl/>
        <w:spacing w:beforeAutospacing="0" w:afterAutospacing="0" w:line="324" w:lineRule="atLeast"/>
        <w:rPr>
          <w:rFonts w:ascii="Arial" w:hAnsi="Arial" w:cs="Arial"/>
          <w:color w:val="000000"/>
        </w:rPr>
      </w:pPr>
      <w:r>
        <w:rPr>
          <w:rStyle w:val="10"/>
          <w:rFonts w:ascii="Arial" w:hAnsi="Arial" w:cs="Arial"/>
          <w:color w:val="002060"/>
          <w:sz w:val="18"/>
          <w:szCs w:val="18"/>
          <w:shd w:val="clear" w:color="auto" w:fill="FEFCFD"/>
        </w:rPr>
        <w:t>General</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5721"/>
        <w:gridCol w:w="4029"/>
      </w:tblGrid>
      <w:tr w14:paraId="053CFA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E61B23D">
            <w:pPr>
              <w:pStyle w:val="6"/>
              <w:widowControl/>
              <w:spacing w:beforeAutospacing="0" w:afterAutospacing="0" w:line="324" w:lineRule="atLeast"/>
            </w:pPr>
            <w:r>
              <w:t>Power</w:t>
            </w:r>
          </w:p>
        </w:tc>
        <w:tc>
          <w:tcPr>
            <w:tcW w:w="0" w:type="auto"/>
            <w:shd w:val="clear" w:color="auto" w:fill="auto"/>
            <w:vAlign w:val="center"/>
          </w:tcPr>
          <w:p w14:paraId="3B1A19B2">
            <w:pPr>
              <w:pStyle w:val="6"/>
              <w:widowControl/>
              <w:spacing w:beforeAutospacing="0" w:afterAutospacing="0" w:line="324" w:lineRule="atLeast"/>
            </w:pPr>
            <w:r>
              <w:t>AC 100V~240V</w:t>
            </w:r>
          </w:p>
        </w:tc>
      </w:tr>
      <w:tr w14:paraId="3CF427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4BA2E6A">
            <w:pPr>
              <w:pStyle w:val="6"/>
              <w:widowControl/>
              <w:spacing w:beforeAutospacing="0" w:afterAutospacing="0" w:line="324" w:lineRule="atLeast"/>
            </w:pPr>
            <w:r>
              <w:t>Dimensions</w:t>
            </w:r>
          </w:p>
        </w:tc>
        <w:tc>
          <w:tcPr>
            <w:tcW w:w="0" w:type="auto"/>
            <w:shd w:val="clear" w:color="auto" w:fill="auto"/>
            <w:vAlign w:val="center"/>
          </w:tcPr>
          <w:p w14:paraId="763241A4">
            <w:pPr>
              <w:pStyle w:val="6"/>
              <w:widowControl/>
              <w:spacing w:beforeAutospacing="0" w:afterAutospacing="0" w:line="324" w:lineRule="atLeast"/>
            </w:pPr>
            <w:r>
              <w:t>482*400*44mm</w:t>
            </w:r>
          </w:p>
        </w:tc>
      </w:tr>
      <w:tr w14:paraId="3DFC3F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6DE811B0">
            <w:pPr>
              <w:pStyle w:val="6"/>
              <w:widowControl/>
              <w:spacing w:beforeAutospacing="0" w:afterAutospacing="0" w:line="324" w:lineRule="atLeast"/>
            </w:pPr>
            <w:r>
              <w:t>Operation temperature</w:t>
            </w:r>
          </w:p>
        </w:tc>
        <w:tc>
          <w:tcPr>
            <w:tcW w:w="0" w:type="auto"/>
            <w:shd w:val="clear" w:color="auto" w:fill="auto"/>
            <w:vAlign w:val="center"/>
          </w:tcPr>
          <w:p w14:paraId="144D993C">
            <w:pPr>
              <w:pStyle w:val="6"/>
              <w:widowControl/>
              <w:spacing w:beforeAutospacing="0" w:afterAutospacing="0" w:line="324" w:lineRule="atLeast"/>
            </w:pPr>
            <w:r>
              <w:t>0~45℃</w:t>
            </w:r>
          </w:p>
        </w:tc>
      </w:tr>
    </w:tbl>
    <w:p w14:paraId="625F8949">
      <w:pPr>
        <w:pStyle w:val="6"/>
        <w:widowControl/>
        <w:spacing w:beforeAutospacing="0" w:afterAutospacing="0" w:line="324" w:lineRule="atLeast"/>
        <w:rPr>
          <w:rFonts w:ascii="Arial" w:hAnsi="Arial" w:cs="Arial"/>
          <w:color w:val="000000"/>
        </w:rPr>
      </w:pPr>
      <w:r>
        <w:rPr>
          <w:rFonts w:ascii="Arial" w:hAnsi="Arial" w:cs="Arial"/>
          <w:color w:val="000000"/>
          <w:sz w:val="18"/>
          <w:szCs w:val="18"/>
          <w:shd w:val="clear" w:color="auto" w:fill="FEFCFD"/>
        </w:rPr>
        <w:t> </w:t>
      </w:r>
    </w:p>
    <w:p w14:paraId="65F0624E">
      <w:pPr>
        <w:widowControl/>
        <w:shd w:val="clear" w:color="auto" w:fill="FEFCFD"/>
        <w:spacing w:line="324" w:lineRule="atLeast"/>
        <w:jc w:val="center"/>
        <w:rPr>
          <w:rFonts w:ascii="Verdana" w:hAnsi="Verdana" w:cs="Verdana"/>
          <w:color w:val="333333"/>
          <w:sz w:val="18"/>
          <w:szCs w:val="18"/>
        </w:rPr>
      </w:pPr>
      <w:r>
        <w:rPr>
          <w:rFonts w:ascii="Verdana" w:hAnsi="Verdana" w:eastAsia="宋体" w:cs="Verdana"/>
          <w:color w:val="333333"/>
          <w:kern w:val="0"/>
          <w:sz w:val="18"/>
          <w:szCs w:val="18"/>
          <w:shd w:val="clear" w:color="auto" w:fill="FEFCFD"/>
        </w:rPr>
        <w:t> </w:t>
      </w:r>
    </w:p>
    <w:p w14:paraId="6366B0F6">
      <w:pPr>
        <w:widowControl/>
        <w:shd w:val="clear" w:color="auto" w:fill="FEFCFD"/>
        <w:spacing w:line="324" w:lineRule="atLeast"/>
        <w:jc w:val="left"/>
        <w:rPr>
          <w:rFonts w:ascii="Verdana" w:hAnsi="Verdana" w:cs="Verdana"/>
          <w:color w:val="333333"/>
          <w:sz w:val="18"/>
          <w:szCs w:val="18"/>
        </w:rPr>
      </w:pPr>
      <w:r>
        <w:rPr>
          <w:rStyle w:val="10"/>
          <w:rFonts w:ascii="Verdana" w:hAnsi="Verdana" w:eastAsia="宋体" w:cs="Verdana"/>
          <w:color w:val="FF8C00"/>
          <w:kern w:val="0"/>
          <w:szCs w:val="21"/>
          <w:shd w:val="clear" w:color="auto" w:fill="FEFCFD"/>
        </w:rPr>
        <w:t>Technical Comparision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2909"/>
        <w:gridCol w:w="3470"/>
        <w:gridCol w:w="3371"/>
      </w:tblGrid>
      <w:tr w14:paraId="5EFEC4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04" w:hRule="atLeast"/>
          <w:tblCellSpacing w:w="0" w:type="dxa"/>
        </w:trPr>
        <w:tc>
          <w:tcPr>
            <w:tcW w:w="0" w:type="auto"/>
            <w:shd w:val="clear" w:color="auto" w:fill="auto"/>
            <w:vAlign w:val="center"/>
          </w:tcPr>
          <w:p w14:paraId="13553C1F">
            <w:pPr>
              <w:pStyle w:val="6"/>
              <w:widowControl/>
              <w:spacing w:beforeAutospacing="0" w:afterAutospacing="0" w:line="324" w:lineRule="atLeast"/>
            </w:pPr>
            <w:r>
              <w:t> </w:t>
            </w:r>
          </w:p>
        </w:tc>
        <w:tc>
          <w:tcPr>
            <w:tcW w:w="0" w:type="auto"/>
            <w:shd w:val="clear" w:color="auto" w:fill="auto"/>
            <w:vAlign w:val="center"/>
          </w:tcPr>
          <w:p w14:paraId="417A4021">
            <w:pPr>
              <w:pStyle w:val="6"/>
              <w:widowControl/>
              <w:spacing w:beforeAutospacing="0" w:afterAutospacing="0" w:line="324" w:lineRule="atLeast"/>
            </w:pPr>
            <w:r>
              <w:t>The Former Version</w:t>
            </w:r>
          </w:p>
        </w:tc>
        <w:tc>
          <w:tcPr>
            <w:tcW w:w="0" w:type="auto"/>
            <w:shd w:val="clear" w:color="auto" w:fill="auto"/>
            <w:vAlign w:val="center"/>
          </w:tcPr>
          <w:p w14:paraId="3F7E6594">
            <w:pPr>
              <w:pStyle w:val="6"/>
              <w:widowControl/>
              <w:spacing w:beforeAutospacing="0" w:afterAutospacing="0" w:line="324" w:lineRule="atLeast"/>
            </w:pPr>
            <w:r>
              <w:t>The Current Version（V2）</w:t>
            </w:r>
          </w:p>
        </w:tc>
      </w:tr>
      <w:tr w14:paraId="0D54FEE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5" w:hRule="atLeast"/>
          <w:tblCellSpacing w:w="0" w:type="dxa"/>
        </w:trPr>
        <w:tc>
          <w:tcPr>
            <w:tcW w:w="0" w:type="auto"/>
            <w:shd w:val="clear" w:color="auto" w:fill="auto"/>
            <w:vAlign w:val="center"/>
          </w:tcPr>
          <w:p w14:paraId="0FDF2A87">
            <w:pPr>
              <w:pStyle w:val="6"/>
              <w:widowControl/>
              <w:spacing w:beforeAutospacing="0" w:afterAutospacing="0" w:line="324" w:lineRule="atLeast"/>
            </w:pPr>
            <w:r>
              <w:t>ASI in</w:t>
            </w:r>
          </w:p>
        </w:tc>
        <w:tc>
          <w:tcPr>
            <w:tcW w:w="0" w:type="auto"/>
            <w:shd w:val="clear" w:color="auto" w:fill="auto"/>
            <w:vAlign w:val="center"/>
          </w:tcPr>
          <w:p w14:paraId="172A3F13">
            <w:pPr>
              <w:pStyle w:val="6"/>
              <w:widowControl/>
              <w:spacing w:beforeAutospacing="0" w:afterAutospacing="0" w:line="324" w:lineRule="atLeast"/>
            </w:pPr>
            <w:r>
              <w:t>No</w:t>
            </w:r>
          </w:p>
        </w:tc>
        <w:tc>
          <w:tcPr>
            <w:tcW w:w="0" w:type="auto"/>
            <w:shd w:val="clear" w:color="auto" w:fill="auto"/>
            <w:vAlign w:val="center"/>
          </w:tcPr>
          <w:p w14:paraId="36B619AC">
            <w:pPr>
              <w:pStyle w:val="6"/>
              <w:widowControl/>
              <w:spacing w:beforeAutospacing="0" w:afterAutospacing="0" w:line="324" w:lineRule="atLeast"/>
            </w:pPr>
            <w:r>
              <w:t>Yes</w:t>
            </w:r>
          </w:p>
        </w:tc>
      </w:tr>
      <w:tr w14:paraId="507409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5" w:hRule="atLeast"/>
          <w:tblCellSpacing w:w="0" w:type="dxa"/>
        </w:trPr>
        <w:tc>
          <w:tcPr>
            <w:tcW w:w="0" w:type="auto"/>
            <w:shd w:val="clear" w:color="auto" w:fill="auto"/>
            <w:vAlign w:val="center"/>
          </w:tcPr>
          <w:p w14:paraId="1D92B3E1">
            <w:pPr>
              <w:pStyle w:val="6"/>
              <w:widowControl/>
              <w:spacing w:beforeAutospacing="0" w:afterAutospacing="0" w:line="324" w:lineRule="atLeast"/>
            </w:pPr>
            <w:r>
              <w:t>Bit rate Mode</w:t>
            </w:r>
          </w:p>
        </w:tc>
        <w:tc>
          <w:tcPr>
            <w:tcW w:w="0" w:type="auto"/>
            <w:shd w:val="clear" w:color="auto" w:fill="auto"/>
            <w:vAlign w:val="center"/>
          </w:tcPr>
          <w:p w14:paraId="0D668D5A">
            <w:pPr>
              <w:pStyle w:val="6"/>
              <w:widowControl/>
              <w:spacing w:beforeAutospacing="0" w:afterAutospacing="0" w:line="324" w:lineRule="atLeast"/>
            </w:pPr>
            <w:r>
              <w:t>CBR/VBR option</w:t>
            </w:r>
          </w:p>
        </w:tc>
        <w:tc>
          <w:tcPr>
            <w:tcW w:w="0" w:type="auto"/>
            <w:shd w:val="clear" w:color="auto" w:fill="auto"/>
            <w:vAlign w:val="center"/>
          </w:tcPr>
          <w:p w14:paraId="536609EC">
            <w:pPr>
              <w:pStyle w:val="6"/>
              <w:widowControl/>
              <w:spacing w:beforeAutospacing="0" w:afterAutospacing="0" w:line="324" w:lineRule="atLeast"/>
            </w:pPr>
            <w:r>
              <w:t>CBR</w:t>
            </w:r>
          </w:p>
        </w:tc>
      </w:tr>
      <w:tr w14:paraId="1F50DB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5" w:hRule="atLeast"/>
          <w:tblCellSpacing w:w="0" w:type="dxa"/>
        </w:trPr>
        <w:tc>
          <w:tcPr>
            <w:tcW w:w="0" w:type="auto"/>
            <w:shd w:val="clear" w:color="auto" w:fill="auto"/>
            <w:vAlign w:val="center"/>
          </w:tcPr>
          <w:p w14:paraId="7CBB4A6E">
            <w:pPr>
              <w:pStyle w:val="6"/>
              <w:widowControl/>
              <w:spacing w:beforeAutospacing="0" w:afterAutospacing="0" w:line="324" w:lineRule="atLeast"/>
            </w:pPr>
            <w:r>
              <w:t>Audio Group/Pair option-SDI</w:t>
            </w:r>
          </w:p>
        </w:tc>
        <w:tc>
          <w:tcPr>
            <w:tcW w:w="0" w:type="auto"/>
            <w:shd w:val="clear" w:color="auto" w:fill="auto"/>
            <w:vAlign w:val="center"/>
          </w:tcPr>
          <w:p w14:paraId="25AC03A4">
            <w:pPr>
              <w:pStyle w:val="6"/>
              <w:widowControl/>
              <w:spacing w:beforeAutospacing="0" w:afterAutospacing="0" w:line="324" w:lineRule="atLeast"/>
            </w:pPr>
            <w:r>
              <w:t>No</w:t>
            </w:r>
          </w:p>
        </w:tc>
        <w:tc>
          <w:tcPr>
            <w:tcW w:w="0" w:type="auto"/>
            <w:shd w:val="clear" w:color="auto" w:fill="auto"/>
            <w:vAlign w:val="center"/>
          </w:tcPr>
          <w:p w14:paraId="6DA779B3">
            <w:pPr>
              <w:pStyle w:val="6"/>
              <w:widowControl/>
              <w:spacing w:beforeAutospacing="0" w:afterAutospacing="0" w:line="324" w:lineRule="atLeast"/>
            </w:pPr>
            <w:r>
              <w:t>Yes</w:t>
            </w:r>
          </w:p>
        </w:tc>
      </w:tr>
      <w:tr w14:paraId="2E20EE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5" w:hRule="atLeast"/>
          <w:tblCellSpacing w:w="0" w:type="dxa"/>
        </w:trPr>
        <w:tc>
          <w:tcPr>
            <w:tcW w:w="0" w:type="auto"/>
            <w:shd w:val="clear" w:color="auto" w:fill="auto"/>
            <w:vAlign w:val="center"/>
          </w:tcPr>
          <w:p w14:paraId="48402070">
            <w:pPr>
              <w:pStyle w:val="6"/>
              <w:widowControl/>
              <w:spacing w:beforeAutospacing="0" w:afterAutospacing="0" w:line="324" w:lineRule="atLeast"/>
            </w:pPr>
            <w:r>
              <w:t>Video Bit Rate</w:t>
            </w:r>
          </w:p>
        </w:tc>
        <w:tc>
          <w:tcPr>
            <w:tcW w:w="0" w:type="auto"/>
            <w:shd w:val="clear" w:color="auto" w:fill="auto"/>
            <w:vAlign w:val="center"/>
          </w:tcPr>
          <w:p w14:paraId="0C909AD6">
            <w:pPr>
              <w:pStyle w:val="6"/>
              <w:widowControl/>
              <w:spacing w:beforeAutospacing="0" w:afterAutospacing="0" w:line="324" w:lineRule="atLeast"/>
            </w:pPr>
            <w:r>
              <w:t>0.5~19.5Mbps for H.264 encoding</w:t>
            </w:r>
          </w:p>
          <w:p w14:paraId="27F4E852">
            <w:pPr>
              <w:pStyle w:val="6"/>
              <w:widowControl/>
              <w:spacing w:beforeAutospacing="0" w:afterAutospacing="0" w:line="324" w:lineRule="atLeast"/>
            </w:pPr>
            <w:r>
              <w:t>1~19.5Mbps for MPEG-2 encoding</w:t>
            </w:r>
          </w:p>
        </w:tc>
        <w:tc>
          <w:tcPr>
            <w:tcW w:w="0" w:type="auto"/>
            <w:shd w:val="clear" w:color="auto" w:fill="auto"/>
            <w:vAlign w:val="center"/>
          </w:tcPr>
          <w:p w14:paraId="7FF3E6E8">
            <w:pPr>
              <w:pStyle w:val="6"/>
              <w:widowControl/>
              <w:spacing w:beforeAutospacing="0" w:afterAutospacing="0" w:line="324" w:lineRule="atLeast"/>
            </w:pPr>
            <w:r>
              <w:t>1~19.5Mbps</w:t>
            </w:r>
          </w:p>
        </w:tc>
      </w:tr>
      <w:tr w14:paraId="2BD8DA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5" w:hRule="atLeast"/>
          <w:tblCellSpacing w:w="0" w:type="dxa"/>
        </w:trPr>
        <w:tc>
          <w:tcPr>
            <w:tcW w:w="0" w:type="auto"/>
            <w:shd w:val="clear" w:color="auto" w:fill="auto"/>
            <w:vAlign w:val="center"/>
          </w:tcPr>
          <w:p w14:paraId="102C8121">
            <w:pPr>
              <w:pStyle w:val="6"/>
              <w:widowControl/>
              <w:spacing w:beforeAutospacing="0" w:afterAutospacing="0" w:line="324" w:lineRule="atLeast"/>
            </w:pPr>
            <w:r>
              <w:t>Low Delay</w:t>
            </w:r>
          </w:p>
        </w:tc>
        <w:tc>
          <w:tcPr>
            <w:tcW w:w="0" w:type="auto"/>
            <w:shd w:val="clear" w:color="auto" w:fill="auto"/>
            <w:vAlign w:val="center"/>
          </w:tcPr>
          <w:p w14:paraId="6EA7F1D1">
            <w:pPr>
              <w:pStyle w:val="6"/>
              <w:widowControl/>
              <w:spacing w:beforeAutospacing="0" w:afterAutospacing="0" w:line="324" w:lineRule="atLeast"/>
            </w:pPr>
            <w:r>
              <w:t>Normal/Mode 1/Mode 2</w:t>
            </w:r>
          </w:p>
        </w:tc>
        <w:tc>
          <w:tcPr>
            <w:tcW w:w="0" w:type="auto"/>
            <w:shd w:val="clear" w:color="auto" w:fill="auto"/>
            <w:vAlign w:val="center"/>
          </w:tcPr>
          <w:p w14:paraId="38FB7A8B">
            <w:pPr>
              <w:pStyle w:val="6"/>
              <w:widowControl/>
              <w:spacing w:beforeAutospacing="0" w:afterAutospacing="0" w:line="324" w:lineRule="atLeast"/>
            </w:pPr>
            <w:r>
              <w:t>Normal/Mode 1/Mode 2/Manual</w:t>
            </w:r>
          </w:p>
        </w:tc>
      </w:tr>
      <w:tr w14:paraId="376766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5" w:hRule="atLeast"/>
          <w:tblCellSpacing w:w="0" w:type="dxa"/>
        </w:trPr>
        <w:tc>
          <w:tcPr>
            <w:tcW w:w="0" w:type="auto"/>
            <w:shd w:val="clear" w:color="auto" w:fill="auto"/>
            <w:vAlign w:val="center"/>
          </w:tcPr>
          <w:p w14:paraId="51106F20">
            <w:pPr>
              <w:pStyle w:val="6"/>
              <w:widowControl/>
              <w:spacing w:beforeAutospacing="0" w:afterAutospacing="0" w:line="324" w:lineRule="atLeast"/>
            </w:pPr>
            <w:r>
              <w:t>Character Encoding option</w:t>
            </w:r>
          </w:p>
        </w:tc>
        <w:tc>
          <w:tcPr>
            <w:tcW w:w="0" w:type="auto"/>
            <w:shd w:val="clear" w:color="auto" w:fill="auto"/>
            <w:vAlign w:val="center"/>
          </w:tcPr>
          <w:p w14:paraId="37E9066B">
            <w:pPr>
              <w:pStyle w:val="6"/>
              <w:widowControl/>
              <w:spacing w:beforeAutospacing="0" w:afterAutospacing="0" w:line="324" w:lineRule="atLeast"/>
            </w:pPr>
            <w:r>
              <w:t>No</w:t>
            </w:r>
          </w:p>
        </w:tc>
        <w:tc>
          <w:tcPr>
            <w:tcW w:w="0" w:type="auto"/>
            <w:shd w:val="clear" w:color="auto" w:fill="auto"/>
            <w:vAlign w:val="center"/>
          </w:tcPr>
          <w:p w14:paraId="6CFA9474">
            <w:pPr>
              <w:pStyle w:val="6"/>
              <w:widowControl/>
              <w:spacing w:beforeAutospacing="0" w:afterAutospacing="0" w:line="324" w:lineRule="atLeast"/>
            </w:pPr>
            <w:r>
              <w:t>Yes</w:t>
            </w:r>
          </w:p>
        </w:tc>
      </w:tr>
      <w:tr w14:paraId="481DC6A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5" w:hRule="atLeast"/>
          <w:tblCellSpacing w:w="0" w:type="dxa"/>
        </w:trPr>
        <w:tc>
          <w:tcPr>
            <w:tcW w:w="0" w:type="auto"/>
            <w:shd w:val="clear" w:color="auto" w:fill="auto"/>
            <w:vAlign w:val="center"/>
          </w:tcPr>
          <w:p w14:paraId="3AB7BA6D">
            <w:pPr>
              <w:pStyle w:val="6"/>
              <w:widowControl/>
              <w:spacing w:beforeAutospacing="0" w:afterAutospacing="0" w:line="324" w:lineRule="atLeast"/>
            </w:pPr>
            <w:r>
              <w:t>Output Protocol</w:t>
            </w:r>
          </w:p>
        </w:tc>
        <w:tc>
          <w:tcPr>
            <w:tcW w:w="0" w:type="auto"/>
            <w:shd w:val="clear" w:color="auto" w:fill="auto"/>
            <w:vAlign w:val="center"/>
          </w:tcPr>
          <w:p w14:paraId="42896E30">
            <w:pPr>
              <w:pStyle w:val="6"/>
              <w:widowControl/>
              <w:spacing w:beforeAutospacing="0" w:afterAutospacing="0" w:line="324" w:lineRule="atLeast"/>
            </w:pPr>
            <w:r>
              <w:t>UDP, RTP</w:t>
            </w:r>
          </w:p>
        </w:tc>
        <w:tc>
          <w:tcPr>
            <w:tcW w:w="0" w:type="auto"/>
            <w:shd w:val="clear" w:color="auto" w:fill="auto"/>
            <w:vAlign w:val="center"/>
          </w:tcPr>
          <w:p w14:paraId="50B92E14">
            <w:pPr>
              <w:pStyle w:val="6"/>
              <w:widowControl/>
              <w:spacing w:beforeAutospacing="0" w:afterAutospacing="0" w:line="324" w:lineRule="atLeast"/>
            </w:pPr>
            <w:r>
              <w:t>UDP, RTP/RTSP</w:t>
            </w:r>
          </w:p>
        </w:tc>
      </w:tr>
      <w:tr w14:paraId="7070E9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5" w:hRule="atLeast"/>
          <w:tblCellSpacing w:w="0" w:type="dxa"/>
        </w:trPr>
        <w:tc>
          <w:tcPr>
            <w:tcW w:w="0" w:type="auto"/>
            <w:shd w:val="clear" w:color="auto" w:fill="auto"/>
            <w:vAlign w:val="center"/>
          </w:tcPr>
          <w:p w14:paraId="4F26055C">
            <w:pPr>
              <w:pStyle w:val="6"/>
              <w:widowControl/>
              <w:spacing w:beforeAutospacing="0" w:afterAutospacing="0" w:line="324" w:lineRule="atLeast"/>
            </w:pPr>
            <w:r>
              <w:t>DATA Port</w:t>
            </w:r>
          </w:p>
        </w:tc>
        <w:tc>
          <w:tcPr>
            <w:tcW w:w="0" w:type="auto"/>
            <w:shd w:val="clear" w:color="auto" w:fill="auto"/>
            <w:vAlign w:val="center"/>
          </w:tcPr>
          <w:p w14:paraId="6A0BF34C">
            <w:pPr>
              <w:pStyle w:val="6"/>
              <w:widowControl/>
              <w:spacing w:beforeAutospacing="0" w:afterAutospacing="0" w:line="324" w:lineRule="atLeast"/>
            </w:pPr>
            <w:r>
              <w:t>100M port</w:t>
            </w:r>
          </w:p>
        </w:tc>
        <w:tc>
          <w:tcPr>
            <w:tcW w:w="0" w:type="auto"/>
            <w:shd w:val="clear" w:color="auto" w:fill="auto"/>
            <w:vAlign w:val="center"/>
          </w:tcPr>
          <w:p w14:paraId="46453744">
            <w:pPr>
              <w:pStyle w:val="6"/>
              <w:widowControl/>
              <w:spacing w:beforeAutospacing="0" w:afterAutospacing="0" w:line="324" w:lineRule="atLeast"/>
            </w:pPr>
            <w:r>
              <w:t>1000M port</w:t>
            </w:r>
          </w:p>
        </w:tc>
      </w:tr>
    </w:tbl>
    <w:p w14:paraId="051409A4">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p w14:paraId="20BC686B">
      <w:pPr>
        <w:widowControl/>
        <w:shd w:val="clear" w:color="auto" w:fill="F2F2F4"/>
        <w:jc w:val="left"/>
        <w:rPr>
          <w:rFonts w:ascii="Verdana" w:hAnsi="Verdana" w:cs="Verdana"/>
          <w:color w:val="333333"/>
          <w:sz w:val="18"/>
          <w:szCs w:val="18"/>
        </w:rPr>
      </w:pPr>
    </w:p>
    <w:p w14:paraId="557ADB89">
      <w:pPr>
        <w:rPr>
          <w:rFonts w:ascii="Verdana" w:hAnsi="Verdana" w:cs="Verdana"/>
          <w:color w:val="000000"/>
          <w:sz w:val="28"/>
        </w:rPr>
      </w:pPr>
    </w:p>
    <w:p w14:paraId="76189F51">
      <w:pPr>
        <w:rPr>
          <w:rFonts w:ascii="Verdana" w:hAnsi="Verdana" w:cs="Verdana"/>
          <w:b/>
          <w:color w:val="000000"/>
          <w:sz w:val="22"/>
        </w:rPr>
      </w:pPr>
      <w:r>
        <w:rPr>
          <w:rFonts w:hint="eastAsia" w:ascii="Verdana" w:hAnsi="Verdana" w:cs="Verdana"/>
          <w:b/>
          <w:color w:val="000000"/>
          <w:sz w:val="22"/>
        </w:rPr>
        <w:t>About Us</w:t>
      </w:r>
    </w:p>
    <w:p w14:paraId="53C240FC">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13672493">
      <w:pPr>
        <w:rPr>
          <w:rFonts w:ascii="Verdana" w:hAnsi="Verdana" w:cs="Verdana"/>
          <w:color w:val="000000"/>
          <w:sz w:val="18"/>
        </w:rPr>
      </w:pPr>
    </w:p>
    <w:p w14:paraId="759C217E">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E88DA">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63DF6C10">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0262B">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55F2C"/>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9565EF"/>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489046F"/>
    <w:rsid w:val="0A680B1B"/>
    <w:rsid w:val="0E714EC9"/>
    <w:rsid w:val="0FC87CEA"/>
    <w:rsid w:val="101C4557"/>
    <w:rsid w:val="15C25510"/>
    <w:rsid w:val="18AE427D"/>
    <w:rsid w:val="18E81EA3"/>
    <w:rsid w:val="19563CBF"/>
    <w:rsid w:val="1B974A15"/>
    <w:rsid w:val="1CDC4CA0"/>
    <w:rsid w:val="1FCC39C5"/>
    <w:rsid w:val="20F61905"/>
    <w:rsid w:val="2199682E"/>
    <w:rsid w:val="239E3C7B"/>
    <w:rsid w:val="27B55639"/>
    <w:rsid w:val="2A752F8B"/>
    <w:rsid w:val="2C665CEA"/>
    <w:rsid w:val="2E0F6BE8"/>
    <w:rsid w:val="314F3E41"/>
    <w:rsid w:val="3B533162"/>
    <w:rsid w:val="3F0C6C59"/>
    <w:rsid w:val="45872050"/>
    <w:rsid w:val="478E224E"/>
    <w:rsid w:val="485E04E5"/>
    <w:rsid w:val="487316FE"/>
    <w:rsid w:val="49B75FAC"/>
    <w:rsid w:val="4E4A4BF6"/>
    <w:rsid w:val="4F8D25ED"/>
    <w:rsid w:val="51AD130D"/>
    <w:rsid w:val="53250E71"/>
    <w:rsid w:val="540A3FAB"/>
    <w:rsid w:val="562E484B"/>
    <w:rsid w:val="56834992"/>
    <w:rsid w:val="58336EC6"/>
    <w:rsid w:val="5930748A"/>
    <w:rsid w:val="59933671"/>
    <w:rsid w:val="59E5602A"/>
    <w:rsid w:val="5AA83521"/>
    <w:rsid w:val="5EEA5249"/>
    <w:rsid w:val="609213A6"/>
    <w:rsid w:val="61BA6334"/>
    <w:rsid w:val="63C27F07"/>
    <w:rsid w:val="65702CDF"/>
    <w:rsid w:val="68353649"/>
    <w:rsid w:val="68AD6386"/>
    <w:rsid w:val="695F028C"/>
    <w:rsid w:val="6A57714D"/>
    <w:rsid w:val="6AFD6C79"/>
    <w:rsid w:val="6D7A6503"/>
    <w:rsid w:val="70757613"/>
    <w:rsid w:val="70B756B4"/>
    <w:rsid w:val="73270F88"/>
    <w:rsid w:val="74261FB9"/>
    <w:rsid w:val="74455F31"/>
    <w:rsid w:val="7540100C"/>
    <w:rsid w:val="77935A18"/>
    <w:rsid w:val="77C16B42"/>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hyperlink" Target="https://english.dsdvb.com/Upload/images/Product/Encoder/NDS3242A%204-in-1%20MPEG2%20H.264%20HD%20Encoder/3EEECN_20221109145553.pn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218</Words>
  <Characters>1139</Characters>
  <Lines>22</Lines>
  <Paragraphs>6</Paragraphs>
  <TotalTime>27</TotalTime>
  <ScaleCrop>false</ScaleCrop>
  <LinksUpToDate>false</LinksUpToDate>
  <CharactersWithSpaces>1341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2025-08-20T02:17:21Z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