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31C24">
      <w:pPr>
        <w:pStyle w:val="6"/>
        <w:widowControl/>
        <w:spacing w:beforeAutospacing="0" w:afterAutospacing="0" w:line="324" w:lineRule="atLeast"/>
        <w:jc w:val="center"/>
        <w:rPr>
          <w:rFonts w:hint="eastAsia" w:eastAsiaTheme="minorEastAsia"/>
          <w:lang w:eastAsia="zh-CN"/>
        </w:rPr>
      </w:pPr>
      <w:r>
        <w:rPr>
          <w:rFonts w:hint="eastAsia" w:ascii="Verdana" w:hAnsi="Verdana" w:cs="Verdana"/>
          <w:b/>
          <w:i w:val="0"/>
          <w:strike w:val="0"/>
          <w:color w:val="000000"/>
          <w:sz w:val="28"/>
          <w:lang w:eastAsia="zh-CN"/>
        </w:rPr>
        <w:t>FMUSER FUQ-4354 Decoder Transcoder 32 IP 2 Tuner 1 ASI Input DVB-C-T-S2-ATSC Output IP ASI CVBS YPbPr HDMI SDI Interfaces AVS+-H.264-MPEG-2 Standards Broadcast IPTV Systems</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0320103922"/>
            <wp:cNvGraphicFramePr/>
            <a:graphic xmlns:a="http://schemas.openxmlformats.org/drawingml/2006/main">
              <a:graphicData uri="http://schemas.openxmlformats.org/drawingml/2006/picture">
                <pic:pic xmlns:pic="http://schemas.openxmlformats.org/drawingml/2006/picture">
                  <pic:nvPicPr>
                    <pic:cNvPr id="1" name="图片 1" descr="3EEECN_20180320103922"/>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hint="eastAsia" w:ascii="Verdana" w:hAnsi="Verdana" w:cs="Verdana"/>
          <w:color w:val="333333"/>
          <w:sz w:val="21"/>
          <w:szCs w:val="21"/>
          <w:shd w:val="clear" w:color="auto" w:fill="FEFCFD"/>
          <w:lang w:eastAsia="zh-CN"/>
        </w:rPr>
        <w:t>Product overview</w:t>
      </w:r>
    </w:p>
    <w:p w14:paraId="714E91E4">
      <w:pPr>
        <w:pStyle w:val="6"/>
        <w:widowControl/>
        <w:spacing w:beforeAutospacing="0" w:afterAutospacing="0" w:line="324" w:lineRule="atLeast"/>
        <w:ind w:left="-2"/>
      </w:pPr>
      <w:r>
        <w:rPr>
          <w:rFonts w:hint="eastAsia" w:ascii="Verdana" w:hAnsi="Verdana" w:cs="Verdana"/>
          <w:color w:val="333333"/>
          <w:sz w:val="18"/>
          <w:szCs w:val="18"/>
          <w:shd w:val="clear" w:color="auto" w:fill="FEFCFD"/>
          <w:lang w:eastAsia="zh-CN"/>
        </w:rPr>
        <w:t>The FUQ-4354 integrates demodulation, descrambling, decoding, and transcoding, supporting inputs like 32× IP, 2× tuner, and 1× ASI, with outputs including IP, ASI, CVBS, YPbPr, HDMI, and SDI. It processes signals by converting AVS+ to H.264/MPEG-2, transcoding video and audio, and downscaling HD to SD. Managed via web-based NMS, it is designed for broadcast systems, enabling efficient video handling for operators.</w:t>
      </w:r>
      <w:r>
        <w:rPr>
          <w:rFonts w:ascii="Verdana" w:hAnsi="Verdana" w:cs="Verdana"/>
          <w:color w:val="333333"/>
          <w:sz w:val="18"/>
          <w:szCs w:val="18"/>
          <w:shd w:val="clear" w:color="auto" w:fill="FEFCFD"/>
        </w:rPr>
        <w:t>It can be easily managed through web NMS system, and has become an ideal solution for operator to provide high quality video trans-coding.</w:t>
      </w:r>
    </w:p>
    <w:p w14:paraId="5A7AAF75">
      <w:pPr>
        <w:pStyle w:val="6"/>
        <w:widowControl/>
        <w:spacing w:beforeAutospacing="0" w:afterAutospacing="0" w:line="324" w:lineRule="atLeast"/>
        <w:ind w:left="-60"/>
      </w:pPr>
      <w:r>
        <w:rPr>
          <w:rFonts w:ascii="Verdana" w:hAnsi="Verdana" w:cs="Verdana"/>
          <w:color w:val="333333"/>
          <w:sz w:val="18"/>
          <w:szCs w:val="18"/>
          <w:shd w:val="clear" w:color="auto" w:fill="FEFCFD"/>
        </w:rPr>
        <w:t> </w:t>
      </w:r>
    </w:p>
    <w:p w14:paraId="6B232DFE">
      <w:pPr>
        <w:pStyle w:val="6"/>
        <w:widowControl/>
        <w:spacing w:beforeAutospacing="0" w:afterAutospacing="0" w:line="324" w:lineRule="atLeast"/>
        <w:ind w:left="-60"/>
        <w:rPr>
          <w:rFonts w:hint="eastAsia" w:ascii="Verdana" w:hAnsi="Verdana" w:cs="Verdana"/>
          <w:color w:val="333333"/>
          <w:sz w:val="18"/>
          <w:szCs w:val="18"/>
          <w:shd w:val="clear" w:color="auto" w:fill="FEFCFD"/>
        </w:rPr>
      </w:pPr>
      <w:r>
        <w:rPr>
          <w:rStyle w:val="10"/>
          <w:rFonts w:ascii="Verdana" w:hAnsi="Verdana" w:cs="Verdana"/>
          <w:color w:val="333333"/>
          <w:sz w:val="21"/>
          <w:szCs w:val="21"/>
          <w:shd w:val="clear" w:color="auto" w:fill="FEFCFD"/>
        </w:rPr>
        <w:t>KeyFeature</w:t>
      </w:r>
    </w:p>
    <w:p w14:paraId="0CBDB234">
      <w:pPr>
        <w:pStyle w:val="6"/>
        <w:widowControl/>
        <w:spacing w:beforeAutospacing="0" w:afterAutospacing="0" w:line="324" w:lineRule="atLeast"/>
        <w:ind w:left="-6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Supports multi-format inputs: 32× IP (UDP/RTP), 2× tuner with CAM/CI slots, and 1× ASI.</w:t>
      </w:r>
    </w:p>
    <w:p w14:paraId="77DEA1A3">
      <w:pPr>
        <w:pStyle w:val="6"/>
        <w:widowControl/>
        <w:spacing w:beforeAutospacing="0" w:afterAutospacing="0" w:line="324" w:lineRule="atLeast"/>
        <w:ind w:left="-6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Enables flexible transcoding: AVS+/MPEG-2/H.264 SD/HD video conversion; MPEG-2/AAC/AC3 audio with CBR/VBR control.</w:t>
      </w:r>
    </w:p>
    <w:p w14:paraId="501F46F8">
      <w:pPr>
        <w:pStyle w:val="6"/>
        <w:widowControl/>
        <w:spacing w:beforeAutospacing="0" w:afterAutospacing="0" w:line="324" w:lineRule="atLeast"/>
        <w:ind w:left="-6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Provides diverse outputs: IP/ASI streams, CVBS, YPbPr, HDMI, and SDI.</w:t>
      </w:r>
    </w:p>
    <w:p w14:paraId="621A0C62">
      <w:pPr>
        <w:pStyle w:val="6"/>
        <w:widowControl/>
        <w:spacing w:beforeAutospacing="0" w:afterAutospacing="0" w:line="324" w:lineRule="atLeast"/>
        <w:ind w:left="-60"/>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Features advanced control: BISS descrambling, web-based NMS, and local LCD/keyboard management.</w:t>
      </w:r>
    </w:p>
    <w:p w14:paraId="44C07518">
      <w:pPr>
        <w:pStyle w:val="6"/>
        <w:widowControl/>
        <w:spacing w:beforeAutospacing="0" w:afterAutospacing="0" w:line="324" w:lineRule="atLeast"/>
        <w:ind w:left="-60"/>
      </w:pPr>
      <w:r>
        <w:rPr>
          <w:rFonts w:ascii="Verdana" w:hAnsi="Verdana" w:cs="Verdana"/>
          <w:color w:val="333333"/>
          <w:sz w:val="18"/>
          <w:szCs w:val="18"/>
          <w:shd w:val="clear" w:color="auto" w:fill="FEFCFD"/>
        </w:rPr>
        <w:t> </w:t>
      </w:r>
    </w:p>
    <w:p w14:paraId="422B5E5F">
      <w:pPr>
        <w:pStyle w:val="6"/>
        <w:widowControl/>
        <w:spacing w:beforeAutospacing="0" w:afterAutospacing="0" w:line="324" w:lineRule="atLeast"/>
        <w:ind w:left="-60"/>
      </w:pPr>
      <w:r>
        <w:rPr>
          <w:rStyle w:val="10"/>
          <w:rFonts w:ascii="Verdana" w:hAnsi="Verdana" w:cs="Verdana"/>
          <w:color w:val="333333"/>
          <w:sz w:val="21"/>
          <w:szCs w:val="21"/>
          <w:shd w:val="clear" w:color="auto" w:fill="FEFCFD"/>
        </w:rPr>
        <w:t>Principle Chart</w:t>
      </w:r>
    </w:p>
    <w:p w14:paraId="246E78FB">
      <w:pPr>
        <w:pStyle w:val="6"/>
        <w:widowControl/>
        <w:spacing w:beforeAutospacing="0" w:afterAutospacing="0" w:line="324" w:lineRule="atLeast"/>
        <w:ind w:left="-60"/>
        <w:jc w:val="center"/>
      </w:pPr>
      <w:r>
        <w:rPr>
          <w:rFonts w:ascii="Verdana" w:hAnsi="Verdana" w:cs="Verdana"/>
          <w:color w:val="333333"/>
          <w:sz w:val="18"/>
          <w:szCs w:val="18"/>
          <w:shd w:val="clear" w:color="auto" w:fill="FEFCFD"/>
        </w:rPr>
        <w:drawing>
          <wp:inline distT="0" distB="0" distL="114300" distR="114300">
            <wp:extent cx="6187440" cy="3078480"/>
            <wp:effectExtent l="0" t="0" r="3810" b="762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3078480"/>
                    </a:xfrm>
                    <a:prstGeom prst="rect">
                      <a:avLst/>
                    </a:prstGeom>
                    <a:noFill/>
                    <a:ln w="9525">
                      <a:noFill/>
                    </a:ln>
                  </pic:spPr>
                </pic:pic>
              </a:graphicData>
            </a:graphic>
          </wp:inline>
        </w:drawing>
      </w:r>
    </w:p>
    <w:p w14:paraId="351F9BE6">
      <w:pPr>
        <w:pStyle w:val="6"/>
        <w:widowControl/>
        <w:spacing w:beforeAutospacing="0" w:afterAutospacing="0" w:line="324" w:lineRule="atLeast"/>
        <w:ind w:left="-424"/>
      </w:pPr>
      <w:r>
        <w:rPr>
          <w:rStyle w:val="10"/>
          <w:rFonts w:ascii="Verdana" w:hAnsi="Verdana" w:cs="Verdana"/>
          <w:color w:val="333333"/>
          <w:sz w:val="18"/>
          <w:szCs w:val="18"/>
          <w:shd w:val="clear" w:color="auto" w:fill="FEFCFD"/>
        </w:rPr>
        <w:t>Pri</w:t>
      </w:r>
    </w:p>
    <w:p w14:paraId="3FF37035">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1500505"/>
            <wp:effectExtent l="0" t="0" r="3810" b="4445"/>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7440" cy="1500505"/>
                    </a:xfrm>
                    <a:prstGeom prst="rect">
                      <a:avLst/>
                    </a:prstGeom>
                    <a:noFill/>
                    <a:ln w="9525">
                      <a:noFill/>
                    </a:ln>
                  </pic:spPr>
                </pic:pic>
              </a:graphicData>
            </a:graphic>
          </wp:inline>
        </w:drawing>
      </w:r>
    </w:p>
    <w:p w14:paraId="00032D8E">
      <w:pPr>
        <w:pStyle w:val="6"/>
        <w:widowControl/>
        <w:spacing w:beforeAutospacing="0" w:afterAutospacing="0" w:line="324" w:lineRule="atLeast"/>
      </w:pPr>
      <w:r>
        <w:rPr>
          <w:rFonts w:ascii="Verdana" w:hAnsi="Verdana" w:cs="Verdana"/>
          <w:color w:val="333333"/>
          <w:sz w:val="18"/>
          <w:szCs w:val="18"/>
          <w:shd w:val="clear" w:color="auto" w:fill="FEFCFD"/>
        </w:rPr>
        <w:t> </w:t>
      </w:r>
    </w:p>
    <w:p w14:paraId="3BC9390E">
      <w:pPr>
        <w:pStyle w:val="6"/>
        <w:widowControl/>
        <w:spacing w:beforeAutospacing="0" w:afterAutospacing="0" w:line="324" w:lineRule="atLeast"/>
      </w:pPr>
      <w:r>
        <w:rPr>
          <w:rFonts w:ascii="Verdana" w:hAnsi="Verdana" w:cs="Verdana"/>
          <w:color w:val="333333"/>
          <w:sz w:val="18"/>
          <w:szCs w:val="18"/>
          <w:shd w:val="clear" w:color="auto" w:fill="FEFCFD"/>
        </w:rPr>
        <w:t> </w:t>
      </w:r>
    </w:p>
    <w:p w14:paraId="79331456">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p w14:paraId="53044236">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444"/>
        <w:gridCol w:w="1853"/>
        <w:gridCol w:w="1238"/>
        <w:gridCol w:w="4215"/>
      </w:tblGrid>
      <w:tr w14:paraId="115AFE9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421" w:type="dxa"/>
            <w:vMerge w:val="restart"/>
            <w:shd w:val="clear" w:color="auto" w:fill="auto"/>
            <w:vAlign w:val="center"/>
          </w:tcPr>
          <w:p w14:paraId="3A173C75">
            <w:pPr>
              <w:pStyle w:val="6"/>
              <w:widowControl/>
              <w:spacing w:beforeAutospacing="0" w:afterAutospacing="0" w:line="324" w:lineRule="atLeast"/>
            </w:pPr>
            <w:r>
              <w:rPr>
                <w:rStyle w:val="10"/>
              </w:rPr>
              <w:t>Stream In</w:t>
            </w:r>
          </w:p>
        </w:tc>
        <w:tc>
          <w:tcPr>
            <w:tcW w:w="7239" w:type="dxa"/>
            <w:gridSpan w:val="3"/>
            <w:shd w:val="clear" w:color="auto" w:fill="auto"/>
            <w:vAlign w:val="center"/>
          </w:tcPr>
          <w:p w14:paraId="7654F4CB">
            <w:pPr>
              <w:pStyle w:val="6"/>
              <w:widowControl/>
              <w:spacing w:beforeAutospacing="0" w:afterAutospacing="0" w:line="324" w:lineRule="atLeast"/>
            </w:pPr>
            <w:r>
              <w:t>32 IP over UDP/RTP, 2*100/1000M Base-T Ethernet Interface</w:t>
            </w:r>
          </w:p>
        </w:tc>
      </w:tr>
      <w:tr w14:paraId="0F5466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421" w:type="dxa"/>
            <w:vMerge w:val="continue"/>
            <w:shd w:val="clear" w:color="auto" w:fill="auto"/>
            <w:vAlign w:val="center"/>
          </w:tcPr>
          <w:p w14:paraId="3B7561F7">
            <w:pPr>
              <w:jc w:val="left"/>
              <w:rPr>
                <w:rFonts w:ascii="宋体"/>
                <w:sz w:val="24"/>
                <w:szCs w:val="24"/>
              </w:rPr>
            </w:pPr>
          </w:p>
        </w:tc>
        <w:tc>
          <w:tcPr>
            <w:tcW w:w="7239" w:type="dxa"/>
            <w:gridSpan w:val="3"/>
            <w:shd w:val="clear" w:color="auto" w:fill="auto"/>
            <w:vAlign w:val="center"/>
          </w:tcPr>
          <w:p w14:paraId="53E5EB73">
            <w:pPr>
              <w:pStyle w:val="6"/>
              <w:widowControl/>
              <w:spacing w:beforeAutospacing="0" w:afterAutospacing="0" w:line="324" w:lineRule="atLeast"/>
            </w:pPr>
            <w:r>
              <w:t>2 * DVB-C/T/S2/ATSC Tuners</w:t>
            </w:r>
          </w:p>
        </w:tc>
      </w:tr>
      <w:tr w14:paraId="41EE52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2421" w:type="dxa"/>
            <w:vMerge w:val="continue"/>
            <w:shd w:val="clear" w:color="auto" w:fill="auto"/>
            <w:vAlign w:val="center"/>
          </w:tcPr>
          <w:p w14:paraId="4C00BA13">
            <w:pPr>
              <w:jc w:val="left"/>
              <w:rPr>
                <w:rFonts w:ascii="宋体"/>
                <w:sz w:val="24"/>
                <w:szCs w:val="24"/>
              </w:rPr>
            </w:pPr>
          </w:p>
        </w:tc>
        <w:tc>
          <w:tcPr>
            <w:tcW w:w="7239" w:type="dxa"/>
            <w:gridSpan w:val="3"/>
            <w:shd w:val="clear" w:color="auto" w:fill="auto"/>
            <w:vAlign w:val="center"/>
          </w:tcPr>
          <w:p w14:paraId="400E54FD">
            <w:pPr>
              <w:pStyle w:val="6"/>
              <w:widowControl/>
              <w:spacing w:beforeAutospacing="0" w:afterAutospacing="0" w:line="324" w:lineRule="atLeast"/>
            </w:pPr>
            <w:r>
              <w:t>1 ASI input</w:t>
            </w:r>
          </w:p>
        </w:tc>
      </w:tr>
      <w:tr w14:paraId="227C5D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2421" w:type="dxa"/>
            <w:vMerge w:val="restart"/>
            <w:shd w:val="clear" w:color="auto" w:fill="auto"/>
            <w:vAlign w:val="center"/>
          </w:tcPr>
          <w:p w14:paraId="08011C85">
            <w:pPr>
              <w:pStyle w:val="6"/>
              <w:widowControl/>
              <w:spacing w:beforeAutospacing="0" w:afterAutospacing="0" w:line="324" w:lineRule="atLeast"/>
            </w:pPr>
            <w:r>
              <w:rPr>
                <w:rStyle w:val="10"/>
              </w:rPr>
              <w:t>BISS Descramble</w:t>
            </w:r>
          </w:p>
        </w:tc>
        <w:tc>
          <w:tcPr>
            <w:tcW w:w="7239" w:type="dxa"/>
            <w:gridSpan w:val="3"/>
            <w:shd w:val="clear" w:color="auto" w:fill="auto"/>
            <w:vAlign w:val="center"/>
          </w:tcPr>
          <w:p w14:paraId="31C3E640">
            <w:pPr>
              <w:pStyle w:val="6"/>
              <w:widowControl/>
              <w:spacing w:beforeAutospacing="0" w:afterAutospacing="0" w:line="324" w:lineRule="atLeast"/>
            </w:pPr>
            <w:r>
              <w:t>1 program</w:t>
            </w:r>
          </w:p>
        </w:tc>
      </w:tr>
      <w:tr w14:paraId="389039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2421" w:type="dxa"/>
            <w:vMerge w:val="continue"/>
            <w:shd w:val="clear" w:color="auto" w:fill="auto"/>
            <w:vAlign w:val="center"/>
          </w:tcPr>
          <w:p w14:paraId="48920A04">
            <w:pPr>
              <w:jc w:val="left"/>
              <w:rPr>
                <w:rFonts w:ascii="宋体"/>
                <w:sz w:val="24"/>
                <w:szCs w:val="24"/>
              </w:rPr>
            </w:pPr>
          </w:p>
        </w:tc>
        <w:tc>
          <w:tcPr>
            <w:tcW w:w="7239" w:type="dxa"/>
            <w:gridSpan w:val="3"/>
            <w:shd w:val="clear" w:color="auto" w:fill="auto"/>
            <w:vAlign w:val="center"/>
          </w:tcPr>
          <w:p w14:paraId="027E115A">
            <w:pPr>
              <w:pStyle w:val="6"/>
              <w:widowControl/>
              <w:spacing w:beforeAutospacing="0" w:afterAutospacing="0" w:line="324" w:lineRule="atLeast"/>
            </w:pPr>
            <w:r>
              <w:t>Mode 0, Mode1, Mode E</w:t>
            </w:r>
          </w:p>
        </w:tc>
      </w:tr>
      <w:tr w14:paraId="5F2E4B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00" w:hRule="atLeast"/>
          <w:tblCellSpacing w:w="0" w:type="dxa"/>
        </w:trPr>
        <w:tc>
          <w:tcPr>
            <w:tcW w:w="2421" w:type="dxa"/>
            <w:vMerge w:val="restart"/>
            <w:shd w:val="clear" w:color="auto" w:fill="auto"/>
            <w:vAlign w:val="center"/>
          </w:tcPr>
          <w:p w14:paraId="32BAA1E9">
            <w:pPr>
              <w:pStyle w:val="6"/>
              <w:widowControl/>
              <w:spacing w:beforeAutospacing="0" w:afterAutospacing="0" w:line="324" w:lineRule="atLeast"/>
            </w:pPr>
            <w:r>
              <w:rPr>
                <w:rStyle w:val="10"/>
              </w:rPr>
              <w:t>Transcoding </w:t>
            </w:r>
          </w:p>
        </w:tc>
        <w:tc>
          <w:tcPr>
            <w:tcW w:w="1836" w:type="dxa"/>
            <w:vMerge w:val="restart"/>
            <w:shd w:val="clear" w:color="auto" w:fill="auto"/>
            <w:vAlign w:val="center"/>
          </w:tcPr>
          <w:p w14:paraId="66DF97A8">
            <w:pPr>
              <w:pStyle w:val="6"/>
              <w:widowControl/>
              <w:spacing w:beforeAutospacing="0" w:afterAutospacing="0" w:line="324" w:lineRule="atLeast"/>
            </w:pPr>
            <w:r>
              <w:t>Video</w:t>
            </w:r>
          </w:p>
        </w:tc>
        <w:tc>
          <w:tcPr>
            <w:tcW w:w="5373" w:type="dxa"/>
            <w:gridSpan w:val="2"/>
            <w:shd w:val="clear" w:color="auto" w:fill="auto"/>
            <w:vAlign w:val="center"/>
          </w:tcPr>
          <w:p w14:paraId="209759F2">
            <w:pPr>
              <w:pStyle w:val="6"/>
              <w:widowControl/>
              <w:spacing w:beforeAutospacing="0" w:afterAutospacing="0" w:line="324" w:lineRule="atLeast"/>
            </w:pPr>
            <w:r>
              <w:t>AVS+ HD → MPEG2/H.264 HD</w:t>
            </w:r>
          </w:p>
          <w:p w14:paraId="77CD6414">
            <w:pPr>
              <w:pStyle w:val="6"/>
              <w:widowControl/>
              <w:spacing w:beforeAutospacing="0" w:afterAutospacing="0" w:line="324" w:lineRule="atLeast"/>
            </w:pPr>
            <w:r>
              <w:t>AVS+ HD → MPEG2/H.264 SD</w:t>
            </w:r>
          </w:p>
          <w:p w14:paraId="25A98DA1">
            <w:pPr>
              <w:pStyle w:val="6"/>
              <w:widowControl/>
              <w:spacing w:beforeAutospacing="0" w:afterAutospacing="0" w:line="324" w:lineRule="atLeast"/>
            </w:pPr>
            <w:r>
              <w:t>AVS+ SD → MPEG2/H.264 SD</w:t>
            </w:r>
          </w:p>
        </w:tc>
      </w:tr>
      <w:tr w14:paraId="389023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75" w:hRule="atLeast"/>
          <w:tblCellSpacing w:w="0" w:type="dxa"/>
        </w:trPr>
        <w:tc>
          <w:tcPr>
            <w:tcW w:w="2421" w:type="dxa"/>
            <w:vMerge w:val="continue"/>
            <w:shd w:val="clear" w:color="auto" w:fill="auto"/>
            <w:vAlign w:val="center"/>
          </w:tcPr>
          <w:p w14:paraId="037DDD0D">
            <w:pPr>
              <w:jc w:val="left"/>
              <w:rPr>
                <w:rFonts w:ascii="宋体"/>
                <w:sz w:val="24"/>
                <w:szCs w:val="24"/>
              </w:rPr>
            </w:pPr>
          </w:p>
        </w:tc>
        <w:tc>
          <w:tcPr>
            <w:tcW w:w="1836" w:type="dxa"/>
            <w:vMerge w:val="continue"/>
            <w:shd w:val="clear" w:color="auto" w:fill="auto"/>
            <w:vAlign w:val="center"/>
          </w:tcPr>
          <w:p w14:paraId="3D8C2979">
            <w:pPr>
              <w:jc w:val="left"/>
              <w:rPr>
                <w:rFonts w:ascii="宋体"/>
                <w:sz w:val="24"/>
                <w:szCs w:val="24"/>
              </w:rPr>
            </w:pPr>
          </w:p>
        </w:tc>
        <w:tc>
          <w:tcPr>
            <w:tcW w:w="5373" w:type="dxa"/>
            <w:gridSpan w:val="2"/>
            <w:shd w:val="clear" w:color="auto" w:fill="auto"/>
            <w:vAlign w:val="center"/>
          </w:tcPr>
          <w:p w14:paraId="62ED3B38">
            <w:pPr>
              <w:pStyle w:val="6"/>
              <w:widowControl/>
              <w:spacing w:beforeAutospacing="0" w:afterAutospacing="0" w:line="324" w:lineRule="atLeast"/>
            </w:pPr>
            <w:r>
              <w:t>MPEG2 HD → MPEG2/H.264 HD ;</w:t>
            </w:r>
          </w:p>
          <w:p w14:paraId="3599B6F9">
            <w:pPr>
              <w:pStyle w:val="6"/>
              <w:widowControl/>
              <w:spacing w:beforeAutospacing="0" w:afterAutospacing="0" w:line="324" w:lineRule="atLeast"/>
            </w:pPr>
            <w:r>
              <w:t>MPEG2 HD → MPEG2/H.264 SD ;</w:t>
            </w:r>
          </w:p>
          <w:p w14:paraId="47B22390">
            <w:pPr>
              <w:pStyle w:val="6"/>
              <w:widowControl/>
              <w:spacing w:beforeAutospacing="0" w:afterAutospacing="0" w:line="324" w:lineRule="atLeast"/>
            </w:pPr>
            <w:r>
              <w:t>MPEG2 SD → MPEG2/H.264 SD</w:t>
            </w:r>
          </w:p>
        </w:tc>
      </w:tr>
      <w:tr w14:paraId="24B835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85" w:hRule="atLeast"/>
          <w:tblCellSpacing w:w="0" w:type="dxa"/>
        </w:trPr>
        <w:tc>
          <w:tcPr>
            <w:tcW w:w="2421" w:type="dxa"/>
            <w:vMerge w:val="continue"/>
            <w:shd w:val="clear" w:color="auto" w:fill="auto"/>
            <w:vAlign w:val="center"/>
          </w:tcPr>
          <w:p w14:paraId="1F208399">
            <w:pPr>
              <w:jc w:val="left"/>
              <w:rPr>
                <w:rFonts w:ascii="宋体"/>
                <w:sz w:val="24"/>
                <w:szCs w:val="24"/>
              </w:rPr>
            </w:pPr>
          </w:p>
        </w:tc>
        <w:tc>
          <w:tcPr>
            <w:tcW w:w="1836" w:type="dxa"/>
            <w:vMerge w:val="continue"/>
            <w:shd w:val="clear" w:color="auto" w:fill="auto"/>
            <w:vAlign w:val="center"/>
          </w:tcPr>
          <w:p w14:paraId="2A304D41">
            <w:pPr>
              <w:jc w:val="left"/>
              <w:rPr>
                <w:rFonts w:ascii="宋体"/>
                <w:sz w:val="24"/>
                <w:szCs w:val="24"/>
              </w:rPr>
            </w:pPr>
          </w:p>
        </w:tc>
        <w:tc>
          <w:tcPr>
            <w:tcW w:w="5373" w:type="dxa"/>
            <w:gridSpan w:val="2"/>
            <w:shd w:val="clear" w:color="auto" w:fill="auto"/>
            <w:vAlign w:val="center"/>
          </w:tcPr>
          <w:p w14:paraId="3BE045D2">
            <w:pPr>
              <w:pStyle w:val="6"/>
              <w:widowControl/>
              <w:spacing w:beforeAutospacing="0" w:afterAutospacing="0" w:line="324" w:lineRule="atLeast"/>
            </w:pPr>
            <w:r>
              <w:t>H.264 HD → MPEG2/H.264 HD ;</w:t>
            </w:r>
          </w:p>
          <w:p w14:paraId="677A5C0E">
            <w:pPr>
              <w:pStyle w:val="6"/>
              <w:widowControl/>
              <w:spacing w:beforeAutospacing="0" w:afterAutospacing="0" w:line="324" w:lineRule="atLeast"/>
            </w:pPr>
            <w:r>
              <w:t>H.264 HD → MPEG2/H.264 SD ;</w:t>
            </w:r>
          </w:p>
          <w:p w14:paraId="7F67CC6B">
            <w:pPr>
              <w:pStyle w:val="6"/>
              <w:widowControl/>
              <w:spacing w:beforeAutospacing="0" w:afterAutospacing="0" w:line="324" w:lineRule="atLeast"/>
            </w:pPr>
            <w:r>
              <w:t>H.264 SD → MPEG2/H.264 SD</w:t>
            </w:r>
          </w:p>
        </w:tc>
      </w:tr>
      <w:tr w14:paraId="48E5AB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2421" w:type="dxa"/>
            <w:vMerge w:val="continue"/>
            <w:shd w:val="clear" w:color="auto" w:fill="auto"/>
            <w:vAlign w:val="center"/>
          </w:tcPr>
          <w:p w14:paraId="45583942">
            <w:pPr>
              <w:jc w:val="left"/>
              <w:rPr>
                <w:rFonts w:ascii="宋体"/>
                <w:sz w:val="24"/>
                <w:szCs w:val="24"/>
              </w:rPr>
            </w:pPr>
          </w:p>
        </w:tc>
        <w:tc>
          <w:tcPr>
            <w:tcW w:w="1836" w:type="dxa"/>
            <w:shd w:val="clear" w:color="auto" w:fill="auto"/>
            <w:vAlign w:val="center"/>
          </w:tcPr>
          <w:p w14:paraId="3E37DDEB">
            <w:pPr>
              <w:pStyle w:val="6"/>
              <w:widowControl/>
              <w:spacing w:beforeAutospacing="0" w:afterAutospacing="0" w:line="324" w:lineRule="atLeast"/>
            </w:pPr>
            <w:r>
              <w:t>Audio</w:t>
            </w:r>
          </w:p>
        </w:tc>
        <w:tc>
          <w:tcPr>
            <w:tcW w:w="5373" w:type="dxa"/>
            <w:gridSpan w:val="2"/>
            <w:shd w:val="clear" w:color="auto" w:fill="auto"/>
            <w:vAlign w:val="center"/>
          </w:tcPr>
          <w:p w14:paraId="7FEBDC9C">
            <w:pPr>
              <w:pStyle w:val="6"/>
              <w:widowControl/>
              <w:spacing w:beforeAutospacing="0" w:afterAutospacing="0" w:line="324" w:lineRule="atLeast"/>
            </w:pPr>
            <w:r>
              <w:t>MPEG-2, MPEG-2 AAC, MPEG-4 AAC and AC3 any to any; AC3 pass through</w:t>
            </w:r>
          </w:p>
        </w:tc>
      </w:tr>
      <w:tr w14:paraId="6905D2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2421" w:type="dxa"/>
            <w:vMerge w:val="restart"/>
            <w:shd w:val="clear" w:color="auto" w:fill="auto"/>
            <w:vAlign w:val="center"/>
          </w:tcPr>
          <w:p w14:paraId="1BDA38A4">
            <w:pPr>
              <w:pStyle w:val="6"/>
              <w:widowControl/>
              <w:spacing w:beforeAutospacing="0" w:afterAutospacing="0" w:line="324" w:lineRule="atLeast"/>
            </w:pPr>
            <w:r>
              <w:rPr>
                <w:rStyle w:val="10"/>
              </w:rPr>
              <w:t>Decoding</w:t>
            </w:r>
          </w:p>
        </w:tc>
        <w:tc>
          <w:tcPr>
            <w:tcW w:w="1836" w:type="dxa"/>
            <w:shd w:val="clear" w:color="auto" w:fill="auto"/>
            <w:vAlign w:val="center"/>
          </w:tcPr>
          <w:p w14:paraId="53883DD1">
            <w:pPr>
              <w:pStyle w:val="6"/>
              <w:widowControl/>
              <w:spacing w:beforeAutospacing="0" w:afterAutospacing="0" w:line="324" w:lineRule="atLeast"/>
            </w:pPr>
            <w:r>
              <w:t>Video Output</w:t>
            </w:r>
          </w:p>
        </w:tc>
        <w:tc>
          <w:tcPr>
            <w:tcW w:w="5373" w:type="dxa"/>
            <w:gridSpan w:val="2"/>
            <w:shd w:val="clear" w:color="auto" w:fill="auto"/>
            <w:vAlign w:val="center"/>
          </w:tcPr>
          <w:p w14:paraId="0A9EC212">
            <w:pPr>
              <w:pStyle w:val="6"/>
              <w:widowControl/>
              <w:spacing w:beforeAutospacing="0" w:afterAutospacing="0" w:line="324" w:lineRule="atLeast"/>
            </w:pPr>
            <w:r>
              <w:t>1×CVBS; 1×YPbPr ; 1×HDMI; 2×HD-SDI</w:t>
            </w:r>
          </w:p>
        </w:tc>
      </w:tr>
      <w:tr w14:paraId="556702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275B4296">
            <w:pPr>
              <w:jc w:val="left"/>
              <w:rPr>
                <w:rFonts w:ascii="宋体"/>
                <w:sz w:val="24"/>
                <w:szCs w:val="24"/>
              </w:rPr>
            </w:pPr>
          </w:p>
        </w:tc>
        <w:tc>
          <w:tcPr>
            <w:tcW w:w="1836" w:type="dxa"/>
            <w:shd w:val="clear" w:color="auto" w:fill="auto"/>
            <w:vAlign w:val="center"/>
          </w:tcPr>
          <w:p w14:paraId="5514DF8A">
            <w:pPr>
              <w:pStyle w:val="6"/>
              <w:widowControl/>
              <w:spacing w:beforeAutospacing="0" w:afterAutospacing="0" w:line="324" w:lineRule="atLeast"/>
            </w:pPr>
            <w:r>
              <w:t>Resolution</w:t>
            </w:r>
          </w:p>
        </w:tc>
        <w:tc>
          <w:tcPr>
            <w:tcW w:w="5373" w:type="dxa"/>
            <w:gridSpan w:val="2"/>
            <w:shd w:val="clear" w:color="auto" w:fill="auto"/>
            <w:vAlign w:val="center"/>
          </w:tcPr>
          <w:p w14:paraId="4C99436D">
            <w:pPr>
              <w:pStyle w:val="6"/>
              <w:widowControl/>
              <w:spacing w:beforeAutospacing="0" w:afterAutospacing="0" w:line="324" w:lineRule="atLeast"/>
            </w:pPr>
            <w:r>
              <w:t>480i，480p，576i，576p，720p@50，720p@60，1080i@50，1080i@60, 1080p@50, 1080p@60</w:t>
            </w:r>
          </w:p>
        </w:tc>
      </w:tr>
      <w:tr w14:paraId="57E6C3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66753096">
            <w:pPr>
              <w:jc w:val="left"/>
              <w:rPr>
                <w:rFonts w:ascii="宋体"/>
                <w:sz w:val="24"/>
                <w:szCs w:val="24"/>
              </w:rPr>
            </w:pPr>
          </w:p>
        </w:tc>
        <w:tc>
          <w:tcPr>
            <w:tcW w:w="1836" w:type="dxa"/>
            <w:shd w:val="clear" w:color="auto" w:fill="auto"/>
            <w:vAlign w:val="center"/>
          </w:tcPr>
          <w:p w14:paraId="2C8C42A7">
            <w:pPr>
              <w:pStyle w:val="6"/>
              <w:widowControl/>
              <w:spacing w:beforeAutospacing="0" w:afterAutospacing="0" w:line="324" w:lineRule="atLeast"/>
            </w:pPr>
            <w:r>
              <w:t>Rate Control</w:t>
            </w:r>
          </w:p>
        </w:tc>
        <w:tc>
          <w:tcPr>
            <w:tcW w:w="5373" w:type="dxa"/>
            <w:gridSpan w:val="2"/>
            <w:shd w:val="clear" w:color="auto" w:fill="auto"/>
            <w:vAlign w:val="center"/>
          </w:tcPr>
          <w:p w14:paraId="74977489">
            <w:pPr>
              <w:pStyle w:val="6"/>
              <w:widowControl/>
              <w:spacing w:beforeAutospacing="0" w:afterAutospacing="0" w:line="324" w:lineRule="atLeast"/>
            </w:pPr>
            <w:r>
              <w:t>CBR/VBR  </w:t>
            </w:r>
          </w:p>
        </w:tc>
      </w:tr>
      <w:tr w14:paraId="2A62D0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59A506B0">
            <w:pPr>
              <w:jc w:val="left"/>
              <w:rPr>
                <w:rFonts w:ascii="宋体"/>
                <w:sz w:val="24"/>
                <w:szCs w:val="24"/>
              </w:rPr>
            </w:pPr>
          </w:p>
        </w:tc>
        <w:tc>
          <w:tcPr>
            <w:tcW w:w="1836" w:type="dxa"/>
            <w:shd w:val="clear" w:color="auto" w:fill="auto"/>
            <w:vAlign w:val="center"/>
          </w:tcPr>
          <w:p w14:paraId="6718733B">
            <w:pPr>
              <w:pStyle w:val="6"/>
              <w:widowControl/>
              <w:spacing w:beforeAutospacing="0" w:afterAutospacing="0" w:line="324" w:lineRule="atLeast"/>
            </w:pPr>
            <w:r>
              <w:t>Audio Output</w:t>
            </w:r>
          </w:p>
        </w:tc>
        <w:tc>
          <w:tcPr>
            <w:tcW w:w="5373" w:type="dxa"/>
            <w:gridSpan w:val="2"/>
            <w:shd w:val="clear" w:color="auto" w:fill="auto"/>
            <w:vAlign w:val="center"/>
          </w:tcPr>
          <w:p w14:paraId="53A1D1F8">
            <w:pPr>
              <w:pStyle w:val="6"/>
              <w:widowControl/>
              <w:spacing w:beforeAutospacing="0" w:afterAutospacing="0" w:line="324" w:lineRule="atLeast"/>
            </w:pPr>
            <w:r>
              <w:t>1*Stereo /2*mono, HDMI，SDI</w:t>
            </w:r>
          </w:p>
        </w:tc>
      </w:tr>
      <w:tr w14:paraId="494445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27AE8D55">
            <w:pPr>
              <w:jc w:val="left"/>
              <w:rPr>
                <w:rFonts w:ascii="宋体"/>
                <w:sz w:val="24"/>
                <w:szCs w:val="24"/>
              </w:rPr>
            </w:pPr>
          </w:p>
        </w:tc>
        <w:tc>
          <w:tcPr>
            <w:tcW w:w="1836" w:type="dxa"/>
            <w:shd w:val="clear" w:color="auto" w:fill="auto"/>
            <w:vAlign w:val="center"/>
          </w:tcPr>
          <w:p w14:paraId="21550370">
            <w:pPr>
              <w:pStyle w:val="6"/>
              <w:widowControl/>
              <w:spacing w:beforeAutospacing="0" w:afterAutospacing="0" w:line="324" w:lineRule="atLeast"/>
            </w:pPr>
            <w:r>
              <w:t>Audio Sampling</w:t>
            </w:r>
          </w:p>
        </w:tc>
        <w:tc>
          <w:tcPr>
            <w:tcW w:w="5373" w:type="dxa"/>
            <w:gridSpan w:val="2"/>
            <w:shd w:val="clear" w:color="auto" w:fill="auto"/>
            <w:vAlign w:val="center"/>
          </w:tcPr>
          <w:p w14:paraId="58513F3A">
            <w:pPr>
              <w:pStyle w:val="6"/>
              <w:widowControl/>
              <w:spacing w:beforeAutospacing="0" w:afterAutospacing="0" w:line="324" w:lineRule="atLeast"/>
            </w:pPr>
            <w:r>
              <w:t>48KHz  </w:t>
            </w:r>
          </w:p>
        </w:tc>
      </w:tr>
      <w:tr w14:paraId="227F0A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142D21D5">
            <w:pPr>
              <w:jc w:val="left"/>
              <w:rPr>
                <w:rFonts w:ascii="宋体"/>
                <w:sz w:val="24"/>
                <w:szCs w:val="24"/>
              </w:rPr>
            </w:pPr>
          </w:p>
        </w:tc>
        <w:tc>
          <w:tcPr>
            <w:tcW w:w="1836" w:type="dxa"/>
            <w:shd w:val="clear" w:color="auto" w:fill="auto"/>
            <w:vAlign w:val="center"/>
          </w:tcPr>
          <w:p w14:paraId="1C01E73A">
            <w:pPr>
              <w:pStyle w:val="6"/>
              <w:widowControl/>
              <w:spacing w:beforeAutospacing="0" w:afterAutospacing="0" w:line="324" w:lineRule="atLeast"/>
            </w:pPr>
            <w:r>
              <w:t>Audio Bit Rate</w:t>
            </w:r>
          </w:p>
        </w:tc>
        <w:tc>
          <w:tcPr>
            <w:tcW w:w="5373" w:type="dxa"/>
            <w:gridSpan w:val="2"/>
            <w:shd w:val="clear" w:color="auto" w:fill="auto"/>
            <w:vAlign w:val="center"/>
          </w:tcPr>
          <w:p w14:paraId="45C903AD">
            <w:pPr>
              <w:pStyle w:val="6"/>
              <w:widowControl/>
              <w:spacing w:beforeAutospacing="0" w:afterAutospacing="0" w:line="324" w:lineRule="atLeast"/>
            </w:pPr>
            <w:r>
              <w:t>64Kbps-384Kbps  </w:t>
            </w:r>
          </w:p>
        </w:tc>
      </w:tr>
      <w:tr w14:paraId="0DFF65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0" w:hRule="atLeast"/>
          <w:tblCellSpacing w:w="0" w:type="dxa"/>
        </w:trPr>
        <w:tc>
          <w:tcPr>
            <w:tcW w:w="2421" w:type="dxa"/>
            <w:vMerge w:val="restart"/>
            <w:shd w:val="clear" w:color="auto" w:fill="auto"/>
            <w:vAlign w:val="center"/>
          </w:tcPr>
          <w:p w14:paraId="04CC6CCC">
            <w:pPr>
              <w:pStyle w:val="6"/>
              <w:widowControl/>
              <w:spacing w:beforeAutospacing="0" w:afterAutospacing="0" w:line="324" w:lineRule="atLeast"/>
            </w:pPr>
            <w:r>
              <w:rPr>
                <w:rStyle w:val="10"/>
              </w:rPr>
              <w:t>Stream Out</w:t>
            </w:r>
          </w:p>
        </w:tc>
        <w:tc>
          <w:tcPr>
            <w:tcW w:w="7239" w:type="dxa"/>
            <w:gridSpan w:val="3"/>
            <w:shd w:val="clear" w:color="auto" w:fill="auto"/>
            <w:vAlign w:val="center"/>
          </w:tcPr>
          <w:p w14:paraId="0AC0862D">
            <w:pPr>
              <w:pStyle w:val="6"/>
              <w:widowControl/>
              <w:spacing w:beforeAutospacing="0" w:afterAutospacing="0" w:line="324" w:lineRule="atLeast"/>
            </w:pPr>
            <w:r>
              <w:t>3*IP over UDP protocol, 2*100M/1000M Base-T Ethernet Interface, one for backup</w:t>
            </w:r>
          </w:p>
        </w:tc>
      </w:tr>
      <w:tr w14:paraId="292228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421" w:type="dxa"/>
            <w:vMerge w:val="continue"/>
            <w:shd w:val="clear" w:color="auto" w:fill="auto"/>
            <w:vAlign w:val="center"/>
          </w:tcPr>
          <w:p w14:paraId="4E00EED3">
            <w:pPr>
              <w:jc w:val="left"/>
              <w:rPr>
                <w:rFonts w:ascii="宋体"/>
                <w:sz w:val="24"/>
                <w:szCs w:val="24"/>
              </w:rPr>
            </w:pPr>
          </w:p>
        </w:tc>
        <w:tc>
          <w:tcPr>
            <w:tcW w:w="7239" w:type="dxa"/>
            <w:gridSpan w:val="3"/>
            <w:shd w:val="clear" w:color="auto" w:fill="auto"/>
            <w:vAlign w:val="center"/>
          </w:tcPr>
          <w:p w14:paraId="0CC16C63">
            <w:pPr>
              <w:pStyle w:val="6"/>
              <w:widowControl/>
              <w:spacing w:beforeAutospacing="0" w:afterAutospacing="0" w:line="324" w:lineRule="atLeast"/>
            </w:pPr>
            <w:r>
              <w:t>2 groups separate ASI outputs (each group has 2 channels, as a copy of one of IP) output, BNC interface</w:t>
            </w:r>
          </w:p>
        </w:tc>
      </w:tr>
      <w:tr w14:paraId="350F091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restart"/>
            <w:shd w:val="clear" w:color="auto" w:fill="auto"/>
            <w:vAlign w:val="center"/>
          </w:tcPr>
          <w:p w14:paraId="1CA4201B">
            <w:pPr>
              <w:pStyle w:val="6"/>
              <w:widowControl/>
              <w:spacing w:beforeAutospacing="0" w:afterAutospacing="0" w:line="324" w:lineRule="atLeast"/>
            </w:pPr>
            <w:r>
              <w:rPr>
                <w:rStyle w:val="10"/>
              </w:rPr>
              <w:t>System Function </w:t>
            </w:r>
          </w:p>
        </w:tc>
        <w:tc>
          <w:tcPr>
            <w:tcW w:w="7239" w:type="dxa"/>
            <w:gridSpan w:val="3"/>
            <w:shd w:val="clear" w:color="auto" w:fill="auto"/>
            <w:vAlign w:val="center"/>
          </w:tcPr>
          <w:p w14:paraId="0348D1D4">
            <w:pPr>
              <w:pStyle w:val="6"/>
              <w:widowControl/>
              <w:spacing w:beforeAutospacing="0" w:afterAutospacing="0" w:line="324" w:lineRule="atLeast"/>
            </w:pPr>
            <w:r>
              <w:t>LCD &amp; Key board control; web-based NMS management</w:t>
            </w:r>
          </w:p>
        </w:tc>
      </w:tr>
      <w:tr w14:paraId="5B0048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1268C32F">
            <w:pPr>
              <w:jc w:val="left"/>
              <w:rPr>
                <w:rFonts w:ascii="宋体"/>
                <w:sz w:val="24"/>
                <w:szCs w:val="24"/>
              </w:rPr>
            </w:pPr>
          </w:p>
        </w:tc>
        <w:tc>
          <w:tcPr>
            <w:tcW w:w="7239" w:type="dxa"/>
            <w:gridSpan w:val="3"/>
            <w:shd w:val="clear" w:color="auto" w:fill="auto"/>
            <w:vAlign w:val="center"/>
          </w:tcPr>
          <w:p w14:paraId="073320B2">
            <w:pPr>
              <w:pStyle w:val="6"/>
              <w:widowControl/>
              <w:spacing w:beforeAutospacing="0" w:afterAutospacing="0" w:line="324" w:lineRule="atLeast"/>
            </w:pPr>
            <w:r>
              <w:t>Ethernet software upgrade </w:t>
            </w:r>
          </w:p>
        </w:tc>
      </w:tr>
      <w:tr w14:paraId="5585DE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restart"/>
            <w:shd w:val="clear" w:color="auto" w:fill="auto"/>
            <w:vAlign w:val="center"/>
          </w:tcPr>
          <w:p w14:paraId="4D0A2CE2">
            <w:pPr>
              <w:pStyle w:val="6"/>
              <w:widowControl/>
              <w:spacing w:beforeAutospacing="0" w:afterAutospacing="0" w:line="324" w:lineRule="atLeast"/>
            </w:pPr>
            <w:r>
              <w:rPr>
                <w:rStyle w:val="10"/>
              </w:rPr>
              <w:t>General </w:t>
            </w:r>
          </w:p>
        </w:tc>
        <w:tc>
          <w:tcPr>
            <w:tcW w:w="3063" w:type="dxa"/>
            <w:gridSpan w:val="2"/>
            <w:shd w:val="clear" w:color="auto" w:fill="auto"/>
            <w:vAlign w:val="center"/>
          </w:tcPr>
          <w:p w14:paraId="2E2D024F">
            <w:pPr>
              <w:pStyle w:val="6"/>
              <w:widowControl/>
              <w:spacing w:beforeAutospacing="0" w:afterAutospacing="0" w:line="324" w:lineRule="atLeast"/>
            </w:pPr>
            <w:r>
              <w:t>Dimensions</w:t>
            </w:r>
          </w:p>
        </w:tc>
        <w:tc>
          <w:tcPr>
            <w:tcW w:w="4146" w:type="dxa"/>
            <w:shd w:val="clear" w:color="auto" w:fill="auto"/>
            <w:vAlign w:val="center"/>
          </w:tcPr>
          <w:p w14:paraId="799DC978">
            <w:pPr>
              <w:pStyle w:val="6"/>
              <w:widowControl/>
              <w:spacing w:beforeAutospacing="0" w:afterAutospacing="0" w:line="324" w:lineRule="atLeast"/>
            </w:pPr>
            <w:r>
              <w:t>430mm×405mm×45mm (WxDxH)  </w:t>
            </w:r>
          </w:p>
        </w:tc>
      </w:tr>
      <w:tr w14:paraId="4C5C29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6E25443A">
            <w:pPr>
              <w:jc w:val="left"/>
              <w:rPr>
                <w:rFonts w:ascii="宋体"/>
                <w:sz w:val="24"/>
                <w:szCs w:val="24"/>
              </w:rPr>
            </w:pPr>
          </w:p>
        </w:tc>
        <w:tc>
          <w:tcPr>
            <w:tcW w:w="3063" w:type="dxa"/>
            <w:gridSpan w:val="2"/>
            <w:shd w:val="clear" w:color="auto" w:fill="auto"/>
            <w:vAlign w:val="center"/>
          </w:tcPr>
          <w:p w14:paraId="2FF55003">
            <w:pPr>
              <w:pStyle w:val="6"/>
              <w:widowControl/>
              <w:spacing w:beforeAutospacing="0" w:afterAutospacing="0" w:line="324" w:lineRule="atLeast"/>
            </w:pPr>
            <w:r>
              <w:t>Approx weight</w:t>
            </w:r>
          </w:p>
        </w:tc>
        <w:tc>
          <w:tcPr>
            <w:tcW w:w="4146" w:type="dxa"/>
            <w:shd w:val="clear" w:color="auto" w:fill="auto"/>
            <w:vAlign w:val="center"/>
          </w:tcPr>
          <w:p w14:paraId="23351A3A">
            <w:pPr>
              <w:pStyle w:val="6"/>
              <w:widowControl/>
              <w:spacing w:beforeAutospacing="0" w:afterAutospacing="0" w:line="324" w:lineRule="atLeast"/>
            </w:pPr>
            <w:r>
              <w:t>4.8 Kg  </w:t>
            </w:r>
          </w:p>
        </w:tc>
      </w:tr>
      <w:tr w14:paraId="34B140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094FA4CE">
            <w:pPr>
              <w:jc w:val="left"/>
              <w:rPr>
                <w:rFonts w:ascii="宋体"/>
                <w:sz w:val="24"/>
                <w:szCs w:val="24"/>
              </w:rPr>
            </w:pPr>
          </w:p>
        </w:tc>
        <w:tc>
          <w:tcPr>
            <w:tcW w:w="3063" w:type="dxa"/>
            <w:gridSpan w:val="2"/>
            <w:shd w:val="clear" w:color="auto" w:fill="auto"/>
            <w:vAlign w:val="center"/>
          </w:tcPr>
          <w:p w14:paraId="051D9BB5">
            <w:pPr>
              <w:pStyle w:val="6"/>
              <w:widowControl/>
              <w:spacing w:beforeAutospacing="0" w:afterAutospacing="0" w:line="324" w:lineRule="atLeast"/>
            </w:pPr>
            <w:r>
              <w:t>Temperature range </w:t>
            </w:r>
          </w:p>
        </w:tc>
        <w:tc>
          <w:tcPr>
            <w:tcW w:w="4146" w:type="dxa"/>
            <w:shd w:val="clear" w:color="auto" w:fill="auto"/>
            <w:vAlign w:val="center"/>
          </w:tcPr>
          <w:p w14:paraId="155368F2">
            <w:pPr>
              <w:pStyle w:val="6"/>
              <w:widowControl/>
              <w:spacing w:beforeAutospacing="0" w:afterAutospacing="0" w:line="324" w:lineRule="atLeast"/>
            </w:pPr>
            <w:r>
              <w:t> 0~45℃(Operation), -20~80℃(Storage) </w:t>
            </w:r>
          </w:p>
        </w:tc>
      </w:tr>
      <w:tr w14:paraId="759BA8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421" w:type="dxa"/>
            <w:vMerge w:val="continue"/>
            <w:shd w:val="clear" w:color="auto" w:fill="auto"/>
            <w:vAlign w:val="center"/>
          </w:tcPr>
          <w:p w14:paraId="7925EAC0">
            <w:pPr>
              <w:jc w:val="left"/>
              <w:rPr>
                <w:rFonts w:ascii="宋体"/>
                <w:sz w:val="24"/>
                <w:szCs w:val="24"/>
              </w:rPr>
            </w:pPr>
          </w:p>
        </w:tc>
        <w:tc>
          <w:tcPr>
            <w:tcW w:w="3063" w:type="dxa"/>
            <w:gridSpan w:val="2"/>
            <w:shd w:val="clear" w:color="auto" w:fill="auto"/>
            <w:vAlign w:val="center"/>
          </w:tcPr>
          <w:p w14:paraId="65F29EAF">
            <w:pPr>
              <w:pStyle w:val="6"/>
              <w:widowControl/>
              <w:spacing w:beforeAutospacing="0" w:afterAutospacing="0" w:line="324" w:lineRule="atLeast"/>
            </w:pPr>
            <w:r>
              <w:t>Power requirements  </w:t>
            </w:r>
          </w:p>
        </w:tc>
        <w:tc>
          <w:tcPr>
            <w:tcW w:w="4146" w:type="dxa"/>
            <w:shd w:val="clear" w:color="auto" w:fill="auto"/>
            <w:vAlign w:val="center"/>
          </w:tcPr>
          <w:p w14:paraId="646A971A">
            <w:pPr>
              <w:pStyle w:val="6"/>
              <w:widowControl/>
              <w:spacing w:beforeAutospacing="0" w:afterAutospacing="0" w:line="324" w:lineRule="atLeast"/>
            </w:pPr>
            <w:r>
              <w:t>AC 200V-240V, 50/60Hz, 2A</w:t>
            </w:r>
          </w:p>
        </w:tc>
      </w:tr>
    </w:tbl>
    <w:p w14:paraId="58A5C389">
      <w:pPr>
        <w:pStyle w:val="6"/>
        <w:widowControl/>
        <w:spacing w:beforeAutospacing="0" w:afterAutospacing="0" w:line="324" w:lineRule="atLeast"/>
      </w:pPr>
      <w:r>
        <w:rPr>
          <w:rFonts w:ascii="Verdana" w:hAnsi="Verdana" w:cs="Verdana"/>
          <w:color w:val="333333"/>
          <w:sz w:val="18"/>
          <w:szCs w:val="18"/>
          <w:shd w:val="clear" w:color="auto" w:fill="FEFCFD"/>
        </w:rPr>
        <w:t> </w:t>
      </w:r>
    </w:p>
    <w:p w14:paraId="04E8AE2E">
      <w:pPr>
        <w:pStyle w:val="6"/>
        <w:widowControl/>
        <w:spacing w:beforeAutospacing="0" w:afterAutospacing="0" w:line="324" w:lineRule="atLeast"/>
      </w:pPr>
      <w:r>
        <w:rPr>
          <w:rFonts w:ascii="Verdana" w:hAnsi="Verdana" w:cs="Verdana"/>
          <w:color w:val="333333"/>
          <w:sz w:val="18"/>
          <w:szCs w:val="18"/>
          <w:shd w:val="clear" w:color="auto" w:fill="FEFCFD"/>
        </w:rPr>
        <w:t> </w:t>
      </w:r>
    </w:p>
    <w:p w14:paraId="7FC265D8">
      <w:pPr>
        <w:pStyle w:val="6"/>
        <w:widowControl/>
        <w:spacing w:beforeAutospacing="0" w:afterAutospacing="0" w:line="324" w:lineRule="atLeast"/>
      </w:pPr>
      <w:r>
        <w:rPr>
          <w:rFonts w:ascii="Verdana" w:hAnsi="Verdana" w:cs="Verdana"/>
          <w:color w:val="333333"/>
          <w:sz w:val="18"/>
          <w:szCs w:val="18"/>
          <w:shd w:val="clear" w:color="auto" w:fill="FEFCFD"/>
        </w:rPr>
        <w:t> </w:t>
      </w:r>
    </w:p>
    <w:p w14:paraId="124BDE1A">
      <w:pPr>
        <w:pStyle w:val="6"/>
        <w:widowControl/>
        <w:spacing w:beforeAutospacing="0" w:afterAutospacing="0" w:line="324" w:lineRule="atLeast"/>
      </w:pPr>
      <w:r>
        <w:rPr>
          <w:rFonts w:ascii="Verdana" w:hAnsi="Verdana" w:cs="Verdana"/>
          <w:color w:val="333333"/>
          <w:sz w:val="18"/>
          <w:szCs w:val="18"/>
          <w:shd w:val="clear" w:color="auto" w:fill="FEFCFD"/>
        </w:rPr>
        <w:t> </w:t>
      </w:r>
    </w:p>
    <w:p w14:paraId="2D4F7AA6">
      <w:pPr>
        <w:widowControl/>
        <w:shd w:val="clear" w:color="auto" w:fill="F2F2F4"/>
        <w:jc w:val="left"/>
        <w:rPr>
          <w:rFonts w:ascii="Verdana" w:hAnsi="Verdana" w:cs="Verdana"/>
          <w:color w:val="333333"/>
          <w:sz w:val="18"/>
          <w:szCs w:val="18"/>
        </w:rPr>
      </w:pPr>
    </w:p>
    <w:p w14:paraId="21AF7703">
      <w:pPr>
        <w:rPr>
          <w:rFonts w:ascii="Verdana" w:hAnsi="Verdana" w:cs="Verdana"/>
          <w:color w:val="000000"/>
          <w:sz w:val="28"/>
        </w:rPr>
      </w:pPr>
    </w:p>
    <w:p w14:paraId="5BA78FBF">
      <w:pPr>
        <w:rPr>
          <w:rFonts w:ascii="Verdana" w:hAnsi="Verdana" w:cs="Verdana"/>
          <w:b/>
          <w:color w:val="000000"/>
          <w:sz w:val="22"/>
        </w:rPr>
      </w:pPr>
      <w:r>
        <w:rPr>
          <w:rFonts w:hint="eastAsia" w:ascii="Verdana" w:hAnsi="Verdana" w:cs="Verdana"/>
          <w:b/>
          <w:color w:val="000000"/>
          <w:sz w:val="22"/>
        </w:rPr>
        <w:t>About Us</w:t>
      </w:r>
    </w:p>
    <w:p w14:paraId="71B4854B">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C32C277">
      <w:pPr>
        <w:rPr>
          <w:rFonts w:ascii="Verdana" w:hAnsi="Verdana" w:cs="Verdana"/>
          <w:color w:val="000000"/>
          <w:sz w:val="18"/>
        </w:rPr>
      </w:pPr>
    </w:p>
    <w:p w14:paraId="3F354BD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7BC9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A4A184C">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5E3F1">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17A27"/>
    <w:rsid w:val="00327045"/>
    <w:rsid w:val="003373F9"/>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2160"/>
    <w:rsid w:val="00AE759F"/>
    <w:rsid w:val="00AF7C10"/>
    <w:rsid w:val="00B11FEF"/>
    <w:rsid w:val="00B4381C"/>
    <w:rsid w:val="00B539FF"/>
    <w:rsid w:val="00B56E04"/>
    <w:rsid w:val="00BD4043"/>
    <w:rsid w:val="00C44FAF"/>
    <w:rsid w:val="00D24477"/>
    <w:rsid w:val="00EB2B2A"/>
    <w:rsid w:val="00F268A0"/>
    <w:rsid w:val="00F714FF"/>
    <w:rsid w:val="00F7593F"/>
    <w:rsid w:val="00FC60FC"/>
    <w:rsid w:val="00FD1F9E"/>
    <w:rsid w:val="033D434A"/>
    <w:rsid w:val="053E28B0"/>
    <w:rsid w:val="070A2315"/>
    <w:rsid w:val="0A680B1B"/>
    <w:rsid w:val="0E714EC9"/>
    <w:rsid w:val="0FC87CEA"/>
    <w:rsid w:val="101C4557"/>
    <w:rsid w:val="15C25510"/>
    <w:rsid w:val="18AE427D"/>
    <w:rsid w:val="18E81EA3"/>
    <w:rsid w:val="1B974A15"/>
    <w:rsid w:val="1CDC4CA0"/>
    <w:rsid w:val="1FCC39C5"/>
    <w:rsid w:val="20F61905"/>
    <w:rsid w:val="2199682E"/>
    <w:rsid w:val="239E3C7B"/>
    <w:rsid w:val="27B55639"/>
    <w:rsid w:val="2A752F8B"/>
    <w:rsid w:val="2C665CEA"/>
    <w:rsid w:val="2D7E4536"/>
    <w:rsid w:val="2E0F6BE8"/>
    <w:rsid w:val="314F3E41"/>
    <w:rsid w:val="36D472E7"/>
    <w:rsid w:val="39FE2649"/>
    <w:rsid w:val="3B533162"/>
    <w:rsid w:val="3F211487"/>
    <w:rsid w:val="41027EF7"/>
    <w:rsid w:val="44624E92"/>
    <w:rsid w:val="45872050"/>
    <w:rsid w:val="478E224E"/>
    <w:rsid w:val="485E04E5"/>
    <w:rsid w:val="487316FE"/>
    <w:rsid w:val="49B75FAC"/>
    <w:rsid w:val="4E4A4BF6"/>
    <w:rsid w:val="4F8D25ED"/>
    <w:rsid w:val="51AD130D"/>
    <w:rsid w:val="540A3FAB"/>
    <w:rsid w:val="5609679C"/>
    <w:rsid w:val="562E484B"/>
    <w:rsid w:val="56834992"/>
    <w:rsid w:val="5930748A"/>
    <w:rsid w:val="59933671"/>
    <w:rsid w:val="5AA83521"/>
    <w:rsid w:val="5EEA5249"/>
    <w:rsid w:val="5F657504"/>
    <w:rsid w:val="609213A6"/>
    <w:rsid w:val="61BA6334"/>
    <w:rsid w:val="631562B5"/>
    <w:rsid w:val="63C27F07"/>
    <w:rsid w:val="68AD6386"/>
    <w:rsid w:val="6AE33390"/>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Transcoder/NDS3243/3EEECN_20180320103144.jpg" TargetMode="External"/><Relationship Id="rId8" Type="http://schemas.openxmlformats.org/officeDocument/2006/relationships/image" Target="media/image3.jpeg"/><Relationship Id="rId7" Type="http://schemas.openxmlformats.org/officeDocument/2006/relationships/hyperlink" Target="https://english.dsdvb.com/Upload/images/Product/Transcoder/NDS3243/3EEECN_20180320102901.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356</Words>
  <Characters>1905</Characters>
  <Lines>23</Lines>
  <Paragraphs>6</Paragraphs>
  <TotalTime>29</TotalTime>
  <ScaleCrop>false</ScaleCrop>
  <LinksUpToDate>false</LinksUpToDate>
  <CharactersWithSpaces>2203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2026-08-11T06:45:28Z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