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A70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FUQ-4359 Bidirectional Transcoder 8 IP + 6 Tuner-ASI Inputs MPTS-SPTS Outputs UDP-RTP-RTSP MPEG-2 H.264 HD-SD BISS Descramble Broadcast Operators</w:t>
      </w:r>
    </w:p>
    <w:p w14:paraId="0CB6DB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80828015215"/>
            <wp:cNvGraphicFramePr/>
            <a:graphic xmlns:a="http://schemas.openxmlformats.org/drawingml/2006/main">
              <a:graphicData uri="http://schemas.openxmlformats.org/drawingml/2006/picture">
                <pic:pic xmlns:pic="http://schemas.openxmlformats.org/drawingml/2006/picture">
                  <pic:nvPicPr>
                    <pic:cNvPr id="1" name="图片 1" descr="3EEECN_20180828015215"/>
                    <pic:cNvPicPr/>
                  </pic:nvPicPr>
                  <pic:blipFill>
                    <a:blip r:embed="rId6"/>
                    <a:stretch>
                      <a:fillRect/>
                    </a:stretch>
                  </pic:blipFill>
                  <pic:spPr>
                    <a:xfrm>
                      <a:off x="0" y="0"/>
                      <a:ext cx="6181725" cy="3400425"/>
                    </a:xfrm>
                    <a:prstGeom prst="rect">
                      <a:avLst/>
                    </a:prstGeom>
                  </pic:spPr>
                </pic:pic>
              </a:graphicData>
            </a:graphic>
          </wp:inline>
        </w:drawing>
      </w:r>
      <w:bookmarkEnd w:id="0"/>
      <w:r>
        <w:rPr>
          <w:rFonts w:hint="default" w:ascii="Verdana" w:hAnsi="Verdana" w:cs="Verdana"/>
          <w:i w:val="0"/>
          <w:iCs w:val="0"/>
          <w:caps w:val="0"/>
          <w:color w:val="333333"/>
          <w:spacing w:val="0"/>
          <w:sz w:val="18"/>
          <w:szCs w:val="18"/>
          <w:u w:val="none"/>
          <w:shd w:val="clear" w:fill="FEFCFD"/>
        </w:rPr>
        <w:drawing>
          <wp:inline distT="0" distB="0" distL="114300" distR="114300">
            <wp:extent cx="6188075" cy="1963420"/>
            <wp:effectExtent l="0" t="0" r="3175" b="1778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8075" cy="1963420"/>
                    </a:xfrm>
                    <a:prstGeom prst="rect">
                      <a:avLst/>
                    </a:prstGeom>
                    <a:noFill/>
                    <a:ln w="9525">
                      <a:noFill/>
                    </a:ln>
                  </pic:spPr>
                </pic:pic>
              </a:graphicData>
            </a:graphic>
          </wp:inline>
        </w:drawing>
      </w:r>
    </w:p>
    <w:p w14:paraId="0966A8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24"/>
          <w:szCs w:val="24"/>
          <w:shd w:val="clear" w:fill="FEFCFD"/>
          <w:lang w:eastAsia="zh-CN"/>
        </w:rPr>
        <w:t>Product overview</w:t>
      </w:r>
    </w:p>
    <w:p w14:paraId="0303DF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The FMUSER FUQ-4359 is a bidirectional transcoder supporting H.264/MPEG-2 and HD/SD conversion, with 6 tuner inputs and ASI/IP inputs for reception, and outputs MPTS/SPTS via IP or ASI. It performs any-to-any transcoding with CBR/VBR rate control. Features include BISS descrambling, CC support, and web NMS management with LCD/keyboard interface. Ideal for satellite TV operators and broadcast content distribution. </w:t>
      </w:r>
    </w:p>
    <w:p w14:paraId="5ACB82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21"/>
          <w:szCs w:val="21"/>
          <w:shd w:val="clear" w:fill="FEFCFD"/>
          <w:lang w:eastAsia="zh-CN"/>
        </w:rPr>
        <w:t>Key feature</w:t>
      </w:r>
    </w:p>
    <w:p w14:paraId="4D860A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versatile inputs: 8×IP (SPTS/MPTS) plus 6×tuners or 6×ASI.  </w:t>
      </w:r>
    </w:p>
    <w:p w14:paraId="5DBDB4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Delivers flexible outputs: 8×SPTS &amp; 1×MPTS via UDP/RTP/RTSP, plus ASI output.  </w:t>
      </w:r>
    </w:p>
    <w:p w14:paraId="781349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Enables advanced transcoding: Any-to-any MPEG-2/H.264 conversion in HD/SD with CBR/VBR control.  </w:t>
      </w:r>
    </w:p>
    <w:p w14:paraId="5FE744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Features integrated security: BISS descrambling and CC support.  </w:t>
      </w:r>
    </w:p>
    <w:p w14:paraId="53D61B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Provides centralized control: Web NMS management with LCD/keyboard interface.         </w:t>
      </w:r>
    </w:p>
    <w:p w14:paraId="14DB25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Style w:val="10"/>
          <w:rFonts w:hint="default" w:ascii="Verdana" w:hAnsi="Verdana" w:eastAsia="宋体" w:cs="Verdana"/>
          <w:i w:val="0"/>
          <w:iCs w:val="0"/>
          <w:caps w:val="0"/>
          <w:color w:val="333333"/>
          <w:spacing w:val="0"/>
          <w:sz w:val="21"/>
          <w:szCs w:val="21"/>
          <w:shd w:val="clear" w:fill="FEFCFD"/>
          <w:lang w:eastAsia="zh-CN"/>
        </w:rPr>
      </w:pPr>
      <w:r>
        <w:rPr>
          <w:rStyle w:val="10"/>
          <w:rFonts w:hint="default" w:ascii="Verdana" w:hAnsi="Verdana" w:eastAsia="宋体" w:cs="Verdana"/>
          <w:i w:val="0"/>
          <w:iCs w:val="0"/>
          <w:caps w:val="0"/>
          <w:color w:val="333333"/>
          <w:spacing w:val="0"/>
          <w:sz w:val="21"/>
          <w:szCs w:val="21"/>
          <w:shd w:val="clear" w:fill="FEFCFD"/>
          <w:lang w:eastAsia="zh-CN"/>
        </w:rPr>
        <w:t>Principle Chart (</w:t>
      </w:r>
      <w:r>
        <w:rPr>
          <w:rStyle w:val="10"/>
          <w:rFonts w:hint="eastAsia" w:ascii="Verdana" w:hAnsi="Verdana" w:eastAsia="宋体" w:cs="Verdana"/>
          <w:i w:val="0"/>
          <w:iCs w:val="0"/>
          <w:caps w:val="0"/>
          <w:color w:val="333333"/>
          <w:spacing w:val="0"/>
          <w:sz w:val="21"/>
          <w:szCs w:val="21"/>
          <w:shd w:val="clear" w:fill="FEFCFD"/>
          <w:lang w:eastAsia="zh-CN"/>
        </w:rPr>
        <w:t>FU-4359</w:t>
      </w:r>
      <w:r>
        <w:rPr>
          <w:rStyle w:val="10"/>
          <w:rFonts w:hint="default" w:ascii="Verdana" w:hAnsi="Verdana" w:eastAsia="宋体" w:cs="Verdana"/>
          <w:i w:val="0"/>
          <w:iCs w:val="0"/>
          <w:caps w:val="0"/>
          <w:color w:val="333333"/>
          <w:spacing w:val="0"/>
          <w:sz w:val="21"/>
          <w:szCs w:val="21"/>
          <w:shd w:val="clear" w:fill="FEFCFD"/>
          <w:lang w:eastAsia="zh-CN"/>
        </w:rPr>
        <w:t>)</w:t>
      </w:r>
    </w:p>
    <w:p w14:paraId="4DD5A9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249A2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79820" cy="1680210"/>
            <wp:effectExtent l="0" t="0" r="11430" b="1524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79820" cy="1680210"/>
                    </a:xfrm>
                    <a:prstGeom prst="rect">
                      <a:avLst/>
                    </a:prstGeom>
                    <a:noFill/>
                    <a:ln w="9525">
                      <a:noFill/>
                    </a:ln>
                  </pic:spPr>
                </pic:pic>
              </a:graphicData>
            </a:graphic>
          </wp:inline>
        </w:drawing>
      </w:r>
    </w:p>
    <w:p w14:paraId="2B22B6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9A625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Transcoding Mode Example</w:t>
      </w:r>
    </w:p>
    <w:p w14:paraId="7E2090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21"/>
          <w:szCs w:val="21"/>
          <w:u w:val="none"/>
          <w:shd w:val="clear" w:fill="FEFCFD"/>
        </w:rPr>
        <w:drawing>
          <wp:inline distT="0" distB="0" distL="114300" distR="114300">
            <wp:extent cx="6181090" cy="2255520"/>
            <wp:effectExtent l="0" t="0" r="10160" b="1143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1090" cy="2255520"/>
                    </a:xfrm>
                    <a:prstGeom prst="rect">
                      <a:avLst/>
                    </a:prstGeom>
                    <a:noFill/>
                    <a:ln w="9525">
                      <a:noFill/>
                    </a:ln>
                  </pic:spPr>
                </pic:pic>
              </a:graphicData>
            </a:graphic>
          </wp:inline>
        </w:drawing>
      </w:r>
    </w:p>
    <w:p w14:paraId="2C9092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1734A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433"/>
        <w:gridCol w:w="1765"/>
        <w:gridCol w:w="1626"/>
        <w:gridCol w:w="4926"/>
      </w:tblGrid>
      <w:tr w14:paraId="6238E7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420" w:type="dxa"/>
            <w:vMerge w:val="restart"/>
            <w:shd w:val="clear" w:color="auto" w:fill="auto"/>
            <w:vAlign w:val="center"/>
          </w:tcPr>
          <w:p w14:paraId="6F400C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In</w:t>
            </w:r>
          </w:p>
        </w:tc>
        <w:tc>
          <w:tcPr>
            <w:tcW w:w="8240" w:type="dxa"/>
            <w:gridSpan w:val="3"/>
            <w:shd w:val="clear" w:color="auto" w:fill="auto"/>
            <w:vAlign w:val="center"/>
          </w:tcPr>
          <w:p w14:paraId="003229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MPTS/SPTS over UDP/RTP, 1000M Base-T Ethernet Interface/ SFP interface</w:t>
            </w:r>
          </w:p>
        </w:tc>
      </w:tr>
      <w:tr w14:paraId="2EAFB2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vMerge w:val="continue"/>
            <w:shd w:val="clear" w:color="auto" w:fill="auto"/>
            <w:vAlign w:val="center"/>
          </w:tcPr>
          <w:p w14:paraId="1C5E94BF">
            <w:pPr>
              <w:jc w:val="left"/>
              <w:rPr>
                <w:rFonts w:hint="eastAsia" w:ascii="宋体"/>
                <w:sz w:val="24"/>
                <w:szCs w:val="24"/>
              </w:rPr>
            </w:pPr>
          </w:p>
        </w:tc>
        <w:tc>
          <w:tcPr>
            <w:tcW w:w="8240" w:type="dxa"/>
            <w:gridSpan w:val="3"/>
            <w:shd w:val="clear" w:color="auto" w:fill="auto"/>
            <w:vAlign w:val="center"/>
          </w:tcPr>
          <w:p w14:paraId="066A76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 (DVB-S/S2/C/T/ISDB-T/ATSC) Tuners; 6 * ASI (optional)</w:t>
            </w:r>
          </w:p>
        </w:tc>
      </w:tr>
      <w:tr w14:paraId="6B5153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shd w:val="clear" w:color="auto" w:fill="auto"/>
            <w:vAlign w:val="center"/>
          </w:tcPr>
          <w:p w14:paraId="0BE94C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BISS Descramble</w:t>
            </w:r>
          </w:p>
        </w:tc>
        <w:tc>
          <w:tcPr>
            <w:tcW w:w="8240" w:type="dxa"/>
            <w:gridSpan w:val="3"/>
            <w:shd w:val="clear" w:color="auto" w:fill="auto"/>
            <w:vAlign w:val="center"/>
          </w:tcPr>
          <w:p w14:paraId="2178B3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8 programs</w:t>
            </w:r>
          </w:p>
        </w:tc>
      </w:tr>
      <w:tr w14:paraId="504942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260F57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 </w:t>
            </w:r>
          </w:p>
        </w:tc>
        <w:tc>
          <w:tcPr>
            <w:tcW w:w="1749" w:type="dxa"/>
            <w:shd w:val="clear" w:color="auto" w:fill="auto"/>
            <w:vAlign w:val="center"/>
          </w:tcPr>
          <w:p w14:paraId="339D24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6461" w:type="dxa"/>
            <w:gridSpan w:val="2"/>
            <w:shd w:val="clear" w:color="auto" w:fill="auto"/>
            <w:vAlign w:val="center"/>
          </w:tcPr>
          <w:p w14:paraId="6F2D66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1920x1080P,1920x1080i,1280x720P, 720x576i, 720x480i</w:t>
            </w:r>
          </w:p>
          <w:p w14:paraId="2C0A3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480x576, 544x576, 640x576, 704x576</w:t>
            </w:r>
          </w:p>
        </w:tc>
      </w:tr>
      <w:tr w14:paraId="1BFBBE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20" w:hRule="atLeast"/>
          <w:tblCellSpacing w:w="0" w:type="dxa"/>
        </w:trPr>
        <w:tc>
          <w:tcPr>
            <w:tcW w:w="1420" w:type="dxa"/>
            <w:vMerge w:val="continue"/>
            <w:shd w:val="clear" w:color="auto" w:fill="auto"/>
            <w:vAlign w:val="center"/>
          </w:tcPr>
          <w:p w14:paraId="0546D675">
            <w:pPr>
              <w:jc w:val="left"/>
              <w:rPr>
                <w:rFonts w:hint="eastAsia" w:ascii="宋体"/>
                <w:sz w:val="24"/>
                <w:szCs w:val="24"/>
              </w:rPr>
            </w:pPr>
          </w:p>
        </w:tc>
        <w:tc>
          <w:tcPr>
            <w:tcW w:w="1749" w:type="dxa"/>
            <w:vMerge w:val="restart"/>
            <w:shd w:val="clear" w:color="auto" w:fill="auto"/>
            <w:vAlign w:val="center"/>
          </w:tcPr>
          <w:p w14:paraId="2A35C9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Trans-coding</w:t>
            </w:r>
          </w:p>
        </w:tc>
        <w:tc>
          <w:tcPr>
            <w:tcW w:w="6461" w:type="dxa"/>
            <w:gridSpan w:val="2"/>
            <w:shd w:val="clear" w:color="auto" w:fill="auto"/>
            <w:vAlign w:val="center"/>
          </w:tcPr>
          <w:p w14:paraId="6A2412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4*MPEG2 HD → 4*MPEG2/H.264 HD ;</w:t>
            </w:r>
          </w:p>
          <w:p w14:paraId="22BBEE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4*MPEG2 HD → 4*MPEG2/H.264 SD ;</w:t>
            </w:r>
          </w:p>
          <w:p w14:paraId="62CC9B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*MPEG2 SD → 8 *MPEG2/H.264 SD</w:t>
            </w:r>
          </w:p>
        </w:tc>
      </w:tr>
      <w:tr w14:paraId="21AC62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20" w:type="dxa"/>
            <w:vMerge w:val="continue"/>
            <w:shd w:val="clear" w:color="auto" w:fill="auto"/>
            <w:vAlign w:val="center"/>
          </w:tcPr>
          <w:p w14:paraId="4EAE21DE">
            <w:pPr>
              <w:jc w:val="left"/>
              <w:rPr>
                <w:rFonts w:hint="eastAsia" w:ascii="宋体"/>
                <w:sz w:val="24"/>
                <w:szCs w:val="24"/>
              </w:rPr>
            </w:pPr>
          </w:p>
        </w:tc>
        <w:tc>
          <w:tcPr>
            <w:tcW w:w="1749" w:type="dxa"/>
            <w:vMerge w:val="continue"/>
            <w:shd w:val="clear" w:color="auto" w:fill="auto"/>
            <w:vAlign w:val="center"/>
          </w:tcPr>
          <w:p w14:paraId="7677E829">
            <w:pPr>
              <w:jc w:val="left"/>
              <w:rPr>
                <w:rFonts w:hint="eastAsia" w:ascii="宋体"/>
                <w:sz w:val="24"/>
                <w:szCs w:val="24"/>
              </w:rPr>
            </w:pPr>
          </w:p>
        </w:tc>
        <w:tc>
          <w:tcPr>
            <w:tcW w:w="6461" w:type="dxa"/>
            <w:gridSpan w:val="2"/>
            <w:shd w:val="clear" w:color="auto" w:fill="auto"/>
            <w:vAlign w:val="center"/>
          </w:tcPr>
          <w:p w14:paraId="00B1E0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H.264 HD → 4*MPEG2/H.264 HD ;</w:t>
            </w:r>
          </w:p>
          <w:p w14:paraId="1E1FAA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H.264 HD → 4*MPEG2/H.264 SD ;</w:t>
            </w:r>
          </w:p>
          <w:p w14:paraId="09A2EF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H.264 SD → 8 *MPEG2/H.264 SD</w:t>
            </w:r>
          </w:p>
        </w:tc>
      </w:tr>
      <w:tr w14:paraId="0EA1CF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43999279">
            <w:pPr>
              <w:jc w:val="left"/>
              <w:rPr>
                <w:rFonts w:hint="eastAsia" w:ascii="宋体"/>
                <w:sz w:val="24"/>
                <w:szCs w:val="24"/>
              </w:rPr>
            </w:pPr>
          </w:p>
        </w:tc>
        <w:tc>
          <w:tcPr>
            <w:tcW w:w="1749" w:type="dxa"/>
            <w:shd w:val="clear" w:color="auto" w:fill="auto"/>
            <w:vAlign w:val="center"/>
          </w:tcPr>
          <w:p w14:paraId="7DAA0F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6461" w:type="dxa"/>
            <w:gridSpan w:val="2"/>
            <w:shd w:val="clear" w:color="auto" w:fill="auto"/>
            <w:vAlign w:val="center"/>
          </w:tcPr>
          <w:p w14:paraId="62C291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  </w:t>
            </w:r>
          </w:p>
        </w:tc>
      </w:tr>
      <w:tr w14:paraId="4FEF6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restart"/>
            <w:shd w:val="clear" w:color="auto" w:fill="auto"/>
            <w:vAlign w:val="center"/>
          </w:tcPr>
          <w:p w14:paraId="50CDF7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 </w:t>
            </w:r>
          </w:p>
        </w:tc>
        <w:tc>
          <w:tcPr>
            <w:tcW w:w="1749" w:type="dxa"/>
            <w:shd w:val="clear" w:color="auto" w:fill="auto"/>
            <w:vAlign w:val="center"/>
          </w:tcPr>
          <w:p w14:paraId="3F9A1D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Trans-coding</w:t>
            </w:r>
          </w:p>
        </w:tc>
        <w:tc>
          <w:tcPr>
            <w:tcW w:w="6461" w:type="dxa"/>
            <w:gridSpan w:val="2"/>
            <w:shd w:val="clear" w:color="auto" w:fill="auto"/>
            <w:vAlign w:val="center"/>
          </w:tcPr>
          <w:p w14:paraId="0AE0DE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AAC and AC3(Optional) any-to-any or pass through</w:t>
            </w:r>
          </w:p>
        </w:tc>
      </w:tr>
      <w:tr w14:paraId="5D081D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7F2EF780">
            <w:pPr>
              <w:jc w:val="left"/>
              <w:rPr>
                <w:rFonts w:hint="eastAsia" w:ascii="宋体"/>
                <w:sz w:val="24"/>
                <w:szCs w:val="24"/>
              </w:rPr>
            </w:pPr>
          </w:p>
        </w:tc>
        <w:tc>
          <w:tcPr>
            <w:tcW w:w="1749" w:type="dxa"/>
            <w:shd w:val="clear" w:color="auto" w:fill="auto"/>
            <w:vAlign w:val="center"/>
          </w:tcPr>
          <w:p w14:paraId="4B55E9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6461" w:type="dxa"/>
            <w:gridSpan w:val="2"/>
            <w:shd w:val="clear" w:color="auto" w:fill="auto"/>
            <w:vAlign w:val="center"/>
          </w:tcPr>
          <w:p w14:paraId="6437CF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  </w:t>
            </w:r>
          </w:p>
        </w:tc>
      </w:tr>
      <w:tr w14:paraId="35300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continue"/>
            <w:shd w:val="clear" w:color="auto" w:fill="auto"/>
            <w:vAlign w:val="center"/>
          </w:tcPr>
          <w:p w14:paraId="57625D99">
            <w:pPr>
              <w:jc w:val="left"/>
              <w:rPr>
                <w:rFonts w:hint="eastAsia" w:ascii="宋体"/>
                <w:sz w:val="24"/>
                <w:szCs w:val="24"/>
              </w:rPr>
            </w:pPr>
          </w:p>
        </w:tc>
        <w:tc>
          <w:tcPr>
            <w:tcW w:w="1749" w:type="dxa"/>
            <w:shd w:val="clear" w:color="auto" w:fill="auto"/>
            <w:vAlign w:val="center"/>
          </w:tcPr>
          <w:p w14:paraId="21C5DE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 Rate</w:t>
            </w:r>
          </w:p>
        </w:tc>
        <w:tc>
          <w:tcPr>
            <w:tcW w:w="6461" w:type="dxa"/>
            <w:gridSpan w:val="2"/>
            <w:shd w:val="clear" w:color="auto" w:fill="auto"/>
            <w:vAlign w:val="center"/>
          </w:tcPr>
          <w:p w14:paraId="4237E1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64Kbps-384Kbps  </w:t>
            </w:r>
          </w:p>
        </w:tc>
      </w:tr>
      <w:tr w14:paraId="4E6806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420" w:type="dxa"/>
            <w:vMerge w:val="restart"/>
            <w:shd w:val="clear" w:color="auto" w:fill="auto"/>
            <w:vAlign w:val="center"/>
          </w:tcPr>
          <w:p w14:paraId="3D6442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w:t>
            </w:r>
          </w:p>
        </w:tc>
        <w:tc>
          <w:tcPr>
            <w:tcW w:w="8240" w:type="dxa"/>
            <w:gridSpan w:val="3"/>
            <w:shd w:val="clear" w:color="auto" w:fill="auto"/>
            <w:vAlign w:val="center"/>
          </w:tcPr>
          <w:p w14:paraId="0C03F5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8*SPTS &amp; 1*MPTS over UDP/RTP/RTSP, 1000M Base-T Ethernet Interface (UDP/RTP uni-cast / multicast)  /SFP interface</w:t>
            </w:r>
          </w:p>
        </w:tc>
      </w:tr>
      <w:tr w14:paraId="35915D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20" w:type="dxa"/>
            <w:vMerge w:val="continue"/>
            <w:shd w:val="clear" w:color="auto" w:fill="auto"/>
            <w:vAlign w:val="center"/>
          </w:tcPr>
          <w:p w14:paraId="21D10B32">
            <w:pPr>
              <w:jc w:val="left"/>
              <w:rPr>
                <w:rFonts w:hint="eastAsia" w:ascii="宋体"/>
                <w:sz w:val="24"/>
                <w:szCs w:val="24"/>
              </w:rPr>
            </w:pPr>
          </w:p>
        </w:tc>
        <w:tc>
          <w:tcPr>
            <w:tcW w:w="8240" w:type="dxa"/>
            <w:gridSpan w:val="3"/>
            <w:shd w:val="clear" w:color="auto" w:fill="auto"/>
            <w:vAlign w:val="center"/>
          </w:tcPr>
          <w:p w14:paraId="1282ED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1*ASI (as a copy of one of the 8 SPTS or the MPTS) output, BNC interface</w:t>
            </w:r>
          </w:p>
        </w:tc>
      </w:tr>
      <w:tr w14:paraId="37D58B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restart"/>
            <w:shd w:val="clear" w:color="auto" w:fill="auto"/>
            <w:vAlign w:val="center"/>
          </w:tcPr>
          <w:p w14:paraId="717245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 </w:t>
            </w:r>
          </w:p>
        </w:tc>
        <w:tc>
          <w:tcPr>
            <w:tcW w:w="8240" w:type="dxa"/>
            <w:gridSpan w:val="3"/>
            <w:shd w:val="clear" w:color="auto" w:fill="auto"/>
            <w:vAlign w:val="center"/>
          </w:tcPr>
          <w:p w14:paraId="19ABCA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 &amp; Key board control; web NMS management</w:t>
            </w:r>
          </w:p>
        </w:tc>
      </w:tr>
      <w:tr w14:paraId="251AB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3B8F4F37">
            <w:pPr>
              <w:jc w:val="left"/>
              <w:rPr>
                <w:rFonts w:hint="eastAsia" w:ascii="宋体"/>
                <w:sz w:val="24"/>
                <w:szCs w:val="24"/>
              </w:rPr>
            </w:pPr>
          </w:p>
        </w:tc>
        <w:tc>
          <w:tcPr>
            <w:tcW w:w="8240" w:type="dxa"/>
            <w:gridSpan w:val="3"/>
            <w:shd w:val="clear" w:color="auto" w:fill="auto"/>
            <w:vAlign w:val="center"/>
          </w:tcPr>
          <w:p w14:paraId="681754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 </w:t>
            </w:r>
          </w:p>
        </w:tc>
      </w:tr>
      <w:tr w14:paraId="7398D8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restart"/>
            <w:shd w:val="clear" w:color="auto" w:fill="auto"/>
            <w:vAlign w:val="center"/>
          </w:tcPr>
          <w:p w14:paraId="1BE9C3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 </w:t>
            </w:r>
          </w:p>
        </w:tc>
        <w:tc>
          <w:tcPr>
            <w:tcW w:w="3360" w:type="dxa"/>
            <w:gridSpan w:val="2"/>
            <w:shd w:val="clear" w:color="auto" w:fill="auto"/>
            <w:vAlign w:val="center"/>
          </w:tcPr>
          <w:p w14:paraId="68EDE5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4850" w:type="dxa"/>
            <w:shd w:val="clear" w:color="auto" w:fill="auto"/>
            <w:vAlign w:val="center"/>
          </w:tcPr>
          <w:p w14:paraId="1FCAE5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430mm×405mm×45mm(WxDxH)  </w:t>
            </w:r>
          </w:p>
        </w:tc>
      </w:tr>
      <w:tr w14:paraId="5AE919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continue"/>
            <w:shd w:val="clear" w:color="auto" w:fill="auto"/>
            <w:vAlign w:val="center"/>
          </w:tcPr>
          <w:p w14:paraId="34FECBCD">
            <w:pPr>
              <w:jc w:val="left"/>
              <w:rPr>
                <w:rFonts w:hint="eastAsia" w:ascii="宋体"/>
                <w:sz w:val="24"/>
                <w:szCs w:val="24"/>
              </w:rPr>
            </w:pPr>
          </w:p>
        </w:tc>
        <w:tc>
          <w:tcPr>
            <w:tcW w:w="3360" w:type="dxa"/>
            <w:gridSpan w:val="2"/>
            <w:shd w:val="clear" w:color="auto" w:fill="auto"/>
            <w:vAlign w:val="center"/>
          </w:tcPr>
          <w:p w14:paraId="3E1389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w:t>
            </w:r>
          </w:p>
        </w:tc>
        <w:tc>
          <w:tcPr>
            <w:tcW w:w="4850" w:type="dxa"/>
            <w:shd w:val="clear" w:color="auto" w:fill="auto"/>
            <w:vAlign w:val="center"/>
          </w:tcPr>
          <w:p w14:paraId="547345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 Kg  </w:t>
            </w:r>
          </w:p>
        </w:tc>
      </w:tr>
      <w:tr w14:paraId="1BC8FB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420" w:type="dxa"/>
            <w:vMerge w:val="continue"/>
            <w:shd w:val="clear" w:color="auto" w:fill="auto"/>
            <w:vAlign w:val="center"/>
          </w:tcPr>
          <w:p w14:paraId="0FBB1F19">
            <w:pPr>
              <w:jc w:val="left"/>
              <w:rPr>
                <w:rFonts w:hint="eastAsia" w:ascii="宋体"/>
                <w:sz w:val="24"/>
                <w:szCs w:val="24"/>
              </w:rPr>
            </w:pPr>
          </w:p>
        </w:tc>
        <w:tc>
          <w:tcPr>
            <w:tcW w:w="3360" w:type="dxa"/>
            <w:gridSpan w:val="2"/>
            <w:shd w:val="clear" w:color="auto" w:fill="auto"/>
            <w:vAlign w:val="center"/>
          </w:tcPr>
          <w:p w14:paraId="2AB540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 range </w:t>
            </w:r>
          </w:p>
        </w:tc>
        <w:tc>
          <w:tcPr>
            <w:tcW w:w="4850" w:type="dxa"/>
            <w:shd w:val="clear" w:color="auto" w:fill="auto"/>
            <w:vAlign w:val="center"/>
          </w:tcPr>
          <w:p w14:paraId="3CC0DF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0~45℃(Operation), -20~80℃(Storage) </w:t>
            </w:r>
          </w:p>
        </w:tc>
      </w:tr>
      <w:tr w14:paraId="66C12D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57BD1018">
            <w:pPr>
              <w:jc w:val="left"/>
              <w:rPr>
                <w:rFonts w:hint="eastAsia" w:ascii="宋体"/>
                <w:sz w:val="24"/>
                <w:szCs w:val="24"/>
              </w:rPr>
            </w:pPr>
          </w:p>
        </w:tc>
        <w:tc>
          <w:tcPr>
            <w:tcW w:w="3360" w:type="dxa"/>
            <w:gridSpan w:val="2"/>
            <w:shd w:val="clear" w:color="auto" w:fill="auto"/>
            <w:vAlign w:val="center"/>
          </w:tcPr>
          <w:p w14:paraId="3F7282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4850" w:type="dxa"/>
            <w:shd w:val="clear" w:color="auto" w:fill="auto"/>
            <w:vAlign w:val="center"/>
          </w:tcPr>
          <w:p w14:paraId="2CE9E0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 50/60Hz or AC 220V±10%,50/60Hz </w:t>
            </w:r>
          </w:p>
        </w:tc>
      </w:tr>
      <w:tr w14:paraId="588E62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6182D781">
            <w:pPr>
              <w:jc w:val="left"/>
              <w:rPr>
                <w:rFonts w:hint="eastAsia" w:ascii="宋体"/>
                <w:sz w:val="24"/>
                <w:szCs w:val="24"/>
              </w:rPr>
            </w:pPr>
          </w:p>
        </w:tc>
        <w:tc>
          <w:tcPr>
            <w:tcW w:w="3360" w:type="dxa"/>
            <w:gridSpan w:val="2"/>
            <w:shd w:val="clear" w:color="auto" w:fill="auto"/>
            <w:vAlign w:val="center"/>
          </w:tcPr>
          <w:p w14:paraId="32E0CF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consumption  </w:t>
            </w:r>
          </w:p>
        </w:tc>
        <w:tc>
          <w:tcPr>
            <w:tcW w:w="4850" w:type="dxa"/>
            <w:shd w:val="clear" w:color="auto" w:fill="auto"/>
            <w:vAlign w:val="center"/>
          </w:tcPr>
          <w:p w14:paraId="773B14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20W</w:t>
            </w:r>
          </w:p>
        </w:tc>
      </w:tr>
    </w:tbl>
    <w:p w14:paraId="2EA8CD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B873DC5">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1A032AC7">
      <w:pPr>
        <w:rPr>
          <w:rFonts w:hint="default" w:ascii="Verdana" w:hAnsi="Verdana" w:cs="Verdana"/>
          <w:b w:val="0"/>
          <w:i w:val="0"/>
          <w:strike w:val="0"/>
          <w:color w:val="000000"/>
          <w:sz w:val="28"/>
          <w:lang w:val="en-US" w:eastAsia="zh-CN"/>
        </w:rPr>
      </w:pPr>
    </w:p>
    <w:p w14:paraId="61000469">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5083286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A282D4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762E3588">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35387F"/>
    <w:rsid w:val="09DD4BB8"/>
    <w:rsid w:val="0A680B1B"/>
    <w:rsid w:val="0E1F60C5"/>
    <w:rsid w:val="0E714EC9"/>
    <w:rsid w:val="0FC87CEA"/>
    <w:rsid w:val="101C4557"/>
    <w:rsid w:val="1256102C"/>
    <w:rsid w:val="15C25510"/>
    <w:rsid w:val="160E55F2"/>
    <w:rsid w:val="18AE427D"/>
    <w:rsid w:val="18E81EA3"/>
    <w:rsid w:val="1B974A15"/>
    <w:rsid w:val="1CDC4CA0"/>
    <w:rsid w:val="1FCC39C5"/>
    <w:rsid w:val="20F61905"/>
    <w:rsid w:val="2199682E"/>
    <w:rsid w:val="239E3C7B"/>
    <w:rsid w:val="2495392A"/>
    <w:rsid w:val="27B55639"/>
    <w:rsid w:val="2A752F8B"/>
    <w:rsid w:val="2C665CEA"/>
    <w:rsid w:val="2E0F6BE8"/>
    <w:rsid w:val="314F3E41"/>
    <w:rsid w:val="31515626"/>
    <w:rsid w:val="35DD549C"/>
    <w:rsid w:val="3B533162"/>
    <w:rsid w:val="45872050"/>
    <w:rsid w:val="478E224E"/>
    <w:rsid w:val="485E04E5"/>
    <w:rsid w:val="487316FE"/>
    <w:rsid w:val="49B75FAC"/>
    <w:rsid w:val="4DB03590"/>
    <w:rsid w:val="4E4A4BF6"/>
    <w:rsid w:val="4F8D25ED"/>
    <w:rsid w:val="51AD130D"/>
    <w:rsid w:val="540A3FAB"/>
    <w:rsid w:val="562E484B"/>
    <w:rsid w:val="56834992"/>
    <w:rsid w:val="5930748A"/>
    <w:rsid w:val="59933671"/>
    <w:rsid w:val="5AA83521"/>
    <w:rsid w:val="5D0F539B"/>
    <w:rsid w:val="5EEA5249"/>
    <w:rsid w:val="609213A6"/>
    <w:rsid w:val="60FF4E56"/>
    <w:rsid w:val="61BA6334"/>
    <w:rsid w:val="63C27F07"/>
    <w:rsid w:val="68AD6386"/>
    <w:rsid w:val="694C7311"/>
    <w:rsid w:val="6BCC0B63"/>
    <w:rsid w:val="6D7A6503"/>
    <w:rsid w:val="70757613"/>
    <w:rsid w:val="70B756B4"/>
    <w:rsid w:val="73270F88"/>
    <w:rsid w:val="74455F31"/>
    <w:rsid w:val="7540100C"/>
    <w:rsid w:val="77935A18"/>
    <w:rsid w:val="784A7FBA"/>
    <w:rsid w:val="7B153F89"/>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8/3EEECN_20131226012312.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8/3EEECN_2018040306120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Transcoder/NDS3248/3EEECN_2014080609294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354</Words>
  <Characters>2196</Characters>
  <Lines>4</Lines>
  <Paragraphs>1</Paragraphs>
  <TotalTime>29</TotalTime>
  <ScaleCrop>false</ScaleCrop>
  <LinksUpToDate>false</LinksUpToDate>
  <CharactersWithSpaces>2552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2026-08-11T06:52:07Z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