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04614">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FUQ-4359 Transcoder 6 Tuner-ASI Inputs 8 IP Inputs DVB-S-S2-C-T-ISDB-T-ATSC to IP-ASI Outputs Bidirectional H.264-MPEG2 Transcoding BISS CC Support for Broadcast Operators</w:t>
      </w:r>
    </w:p>
    <w:p w14:paraId="50BC7426">
      <w:pPr>
        <w:pStyle w:val="6"/>
        <w:widowControl/>
        <w:spacing w:beforeAutospacing="0" w:afterAutospacing="0" w:line="324" w:lineRule="atLeast"/>
        <w:jc w:val="center"/>
      </w:pP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828015215"/>
            <wp:cNvGraphicFramePr/>
            <a:graphic xmlns:a="http://schemas.openxmlformats.org/drawingml/2006/main">
              <a:graphicData uri="http://schemas.openxmlformats.org/drawingml/2006/picture">
                <pic:pic xmlns:pic="http://schemas.openxmlformats.org/drawingml/2006/picture">
                  <pic:nvPicPr>
                    <pic:cNvPr id="1" name="图片 1" descr="3EEECN_20180828015215"/>
                    <pic:cNvPicPr/>
                  </pic:nvPicPr>
                  <pic:blipFill>
                    <a:blip r:embed="rId6"/>
                    <a:stretch>
                      <a:fillRect/>
                    </a:stretch>
                  </pic:blipFill>
                  <pic:spPr>
                    <a:xfrm>
                      <a:off x="0" y="0"/>
                      <a:ext cx="6181725" cy="3400425"/>
                    </a:xfrm>
                    <a:prstGeom prst="rect">
                      <a:avLst/>
                    </a:prstGeom>
                  </pic:spPr>
                </pic:pic>
              </a:graphicData>
            </a:graphic>
          </wp:inline>
        </w:drawing>
      </w:r>
      <w:bookmarkEnd w:id="0"/>
      <w:r>
        <w:rPr>
          <w:rFonts w:ascii="Verdana" w:hAnsi="Verdana" w:cs="Verdana"/>
          <w:color w:val="333333"/>
          <w:sz w:val="18"/>
          <w:szCs w:val="18"/>
          <w:shd w:val="clear" w:color="auto" w:fill="FEFCFD"/>
        </w:rPr>
        <w:drawing>
          <wp:inline distT="0" distB="0" distL="114300" distR="114300">
            <wp:extent cx="6188075" cy="1963420"/>
            <wp:effectExtent l="0" t="0" r="3175" b="17780"/>
            <wp:docPr id="6"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tretch>
                      <a:fillRect/>
                    </a:stretch>
                  </pic:blipFill>
                  <pic:spPr>
                    <a:xfrm>
                      <a:off x="0" y="0"/>
                      <a:ext cx="6188075" cy="1963420"/>
                    </a:xfrm>
                    <a:prstGeom prst="rect">
                      <a:avLst/>
                    </a:prstGeom>
                    <a:noFill/>
                    <a:ln w="9525">
                      <a:noFill/>
                    </a:ln>
                  </pic:spPr>
                </pic:pic>
              </a:graphicData>
            </a:graphic>
          </wp:inline>
        </w:drawing>
      </w:r>
    </w:p>
    <w:p w14:paraId="270B3EC3">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Cs w:val="24"/>
          <w:shd w:val="clear" w:color="auto" w:fill="FEFCFD"/>
          <w:lang w:eastAsia="zh-CN"/>
        </w:rPr>
        <w:t>Product overview</w:t>
      </w:r>
    </w:p>
    <w:p w14:paraId="79857026">
      <w:pPr>
        <w:pStyle w:val="6"/>
        <w:widowControl/>
        <w:spacing w:beforeAutospacing="0" w:afterAutospacing="0" w:line="324" w:lineRule="atLeast"/>
      </w:pPr>
      <w:r>
        <w:rPr>
          <w:rFonts w:hint="eastAsia" w:ascii="Verdana" w:hAnsi="Verdana" w:cs="Verdana"/>
          <w:color w:val="333333"/>
          <w:sz w:val="18"/>
          <w:szCs w:val="18"/>
          <w:shd w:val="clear" w:color="auto" w:fill="FEFCFD"/>
        </w:rPr>
        <w:t>The FUQ-4359 transcoder performs bidirectional conversion between H.264 and MPEG-2 formats, supporting HD/SD video. It includes 6 tuner or ASI inputs and 8 IP inputs, with outputs via IP or ASI. Managed via web-based NMS, it handles signal transcoding efficiently. Ideal for broadcast operators in television and media distribution.</w:t>
      </w:r>
      <w:r>
        <w:rPr>
          <w:rFonts w:ascii="Verdana" w:hAnsi="Verdana" w:cs="Verdana"/>
          <w:color w:val="333333"/>
          <w:sz w:val="18"/>
          <w:szCs w:val="18"/>
          <w:shd w:val="clear" w:color="auto" w:fill="FEFCFD"/>
        </w:rPr>
        <w:t> </w:t>
      </w:r>
    </w:p>
    <w:p w14:paraId="6C3E3F09">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3620B7C4">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bidirectional transcoding between H.264 and MPEG-2 for SD/HD programs.  </w:t>
      </w:r>
    </w:p>
    <w:p w14:paraId="7EE66CEF">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flexible I/O with 6 tuner/ASI inputs, 8 IP inputs, 8 SPTS and 1 MPTS over IP/ASI outputs.  </w:t>
      </w:r>
    </w:p>
    <w:p w14:paraId="73E879B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Includes BISS descrambling and closed captioning support.  </w:t>
      </w:r>
    </w:p>
    <w:p w14:paraId="5F00AE39">
      <w:pPr>
        <w:pStyle w:val="6"/>
        <w:widowControl/>
        <w:spacing w:beforeAutospacing="0" w:afterAutospacing="0" w:line="324" w:lineRule="atLeast"/>
      </w:pPr>
      <w:r>
        <w:rPr>
          <w:rFonts w:hint="eastAsia" w:ascii="Verdana" w:hAnsi="Verdana" w:cs="Verdana"/>
          <w:color w:val="333333"/>
          <w:sz w:val="18"/>
          <w:szCs w:val="18"/>
          <w:shd w:val="clear" w:color="auto" w:fill="FEFCFD"/>
        </w:rPr>
        <w:t>Enables remote control and monitoring via web-based NMS.</w:t>
      </w:r>
      <w:r>
        <w:rPr>
          <w:rFonts w:ascii="Verdana" w:hAnsi="Verdana" w:cs="Verdana"/>
          <w:color w:val="333333"/>
          <w:sz w:val="18"/>
          <w:szCs w:val="18"/>
          <w:shd w:val="clear" w:color="auto" w:fill="FEFCFD"/>
        </w:rPr>
        <w:t>        </w:t>
      </w:r>
    </w:p>
    <w:p w14:paraId="76849DA5">
      <w:pPr>
        <w:pStyle w:val="6"/>
        <w:widowControl/>
        <w:spacing w:beforeAutospacing="0" w:afterAutospacing="0" w:line="324" w:lineRule="atLeast"/>
        <w:ind w:left="-568"/>
      </w:pPr>
      <w:r>
        <w:rPr>
          <w:rStyle w:val="10"/>
          <w:rFonts w:ascii="Verdana" w:hAnsi="Verdana" w:cs="Verdana"/>
          <w:color w:val="333333"/>
          <w:sz w:val="21"/>
          <w:szCs w:val="21"/>
          <w:shd w:val="clear" w:color="auto" w:fill="FEFCFD"/>
        </w:rPr>
        <w:t>        Principle Chart (FU-4359)</w:t>
      </w:r>
    </w:p>
    <w:p w14:paraId="01CBA729">
      <w:pPr>
        <w:pStyle w:val="6"/>
        <w:widowControl/>
        <w:spacing w:beforeAutospacing="0" w:afterAutospacing="0" w:line="324" w:lineRule="atLeast"/>
      </w:pPr>
      <w:r>
        <w:rPr>
          <w:rFonts w:ascii="Verdana" w:hAnsi="Verdana" w:cs="Verdana"/>
          <w:color w:val="333333"/>
          <w:sz w:val="18"/>
          <w:szCs w:val="18"/>
          <w:shd w:val="clear" w:color="auto" w:fill="FEFCFD"/>
        </w:rPr>
        <w:t> </w:t>
      </w:r>
    </w:p>
    <w:p w14:paraId="7B2C091F">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79820" cy="1680210"/>
            <wp:effectExtent l="0" t="0" r="11430" b="1524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79820" cy="1680210"/>
                    </a:xfrm>
                    <a:prstGeom prst="rect">
                      <a:avLst/>
                    </a:prstGeom>
                    <a:noFill/>
                    <a:ln w="9525">
                      <a:noFill/>
                    </a:ln>
                  </pic:spPr>
                </pic:pic>
              </a:graphicData>
            </a:graphic>
          </wp:inline>
        </w:drawing>
      </w:r>
    </w:p>
    <w:p w14:paraId="1698475D">
      <w:pPr>
        <w:pStyle w:val="6"/>
        <w:widowControl/>
        <w:spacing w:beforeAutospacing="0" w:afterAutospacing="0" w:line="324" w:lineRule="atLeast"/>
      </w:pPr>
      <w:r>
        <w:rPr>
          <w:rFonts w:ascii="Verdana" w:hAnsi="Verdana" w:cs="Verdana"/>
          <w:color w:val="333333"/>
          <w:sz w:val="18"/>
          <w:szCs w:val="18"/>
          <w:shd w:val="clear" w:color="auto" w:fill="FEFCFD"/>
        </w:rPr>
        <w:t> </w:t>
      </w:r>
    </w:p>
    <w:p w14:paraId="4AF41506">
      <w:pPr>
        <w:pStyle w:val="6"/>
        <w:widowControl/>
        <w:spacing w:beforeAutospacing="0" w:afterAutospacing="0" w:line="324" w:lineRule="atLeast"/>
      </w:pPr>
      <w:r>
        <w:rPr>
          <w:rStyle w:val="10"/>
          <w:rFonts w:ascii="Verdana" w:hAnsi="Verdana" w:cs="Verdana"/>
          <w:color w:val="333333"/>
          <w:sz w:val="21"/>
          <w:szCs w:val="21"/>
          <w:shd w:val="clear" w:color="auto" w:fill="FEFCFD"/>
        </w:rPr>
        <w:t>Transcoding Mode Example</w:t>
      </w:r>
    </w:p>
    <w:p w14:paraId="1F11A9B2">
      <w:pPr>
        <w:pStyle w:val="6"/>
        <w:widowControl/>
        <w:spacing w:beforeAutospacing="0" w:afterAutospacing="0" w:line="324" w:lineRule="atLeast"/>
      </w:pPr>
      <w:r>
        <w:rPr>
          <w:rFonts w:ascii="Verdana" w:hAnsi="Verdana" w:cs="Verdana"/>
          <w:color w:val="333333"/>
          <w:sz w:val="21"/>
          <w:szCs w:val="21"/>
          <w:shd w:val="clear" w:color="auto" w:fill="FEFCFD"/>
        </w:rPr>
        <w:drawing>
          <wp:inline distT="0" distB="0" distL="114300" distR="114300">
            <wp:extent cx="6181090" cy="2255520"/>
            <wp:effectExtent l="0" t="0" r="10160" b="11430"/>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6181090" cy="2255520"/>
                    </a:xfrm>
                    <a:prstGeom prst="rect">
                      <a:avLst/>
                    </a:prstGeom>
                    <a:noFill/>
                    <a:ln w="9525">
                      <a:noFill/>
                    </a:ln>
                  </pic:spPr>
                </pic:pic>
              </a:graphicData>
            </a:graphic>
          </wp:inline>
        </w:drawing>
      </w:r>
    </w:p>
    <w:p w14:paraId="6FD4A3BD">
      <w:pPr>
        <w:pStyle w:val="6"/>
        <w:widowControl/>
        <w:spacing w:beforeAutospacing="0" w:afterAutospacing="0" w:line="324" w:lineRule="atLeast"/>
      </w:pPr>
      <w:r>
        <w:rPr>
          <w:rFonts w:ascii="Verdana" w:hAnsi="Verdana" w:cs="Verdana"/>
          <w:color w:val="333333"/>
          <w:sz w:val="18"/>
          <w:szCs w:val="18"/>
          <w:shd w:val="clear" w:color="auto" w:fill="FEFCFD"/>
        </w:rPr>
        <w:t> </w:t>
      </w:r>
    </w:p>
    <w:p w14:paraId="4D988785">
      <w:pPr>
        <w:pStyle w:val="6"/>
        <w:widowControl/>
        <w:spacing w:beforeAutospacing="0" w:afterAutospacing="0" w:line="324" w:lineRule="atLeast"/>
      </w:pPr>
      <w:r>
        <w:rPr>
          <w:rStyle w:val="10"/>
          <w:rFonts w:ascii="Verdana" w:hAnsi="Verdana" w:cs="Verdana"/>
          <w:color w:val="333333"/>
          <w:sz w:val="21"/>
          <w:szCs w:val="21"/>
          <w:shd w:val="clear" w:color="auto" w:fill="FEFCFD"/>
        </w:rPr>
        <w:t>Technical 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433"/>
        <w:gridCol w:w="1765"/>
        <w:gridCol w:w="1626"/>
        <w:gridCol w:w="4926"/>
      </w:tblGrid>
      <w:tr w14:paraId="23CB2C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86" w:hRule="atLeast"/>
          <w:tblCellSpacing w:w="0" w:type="dxa"/>
        </w:trPr>
        <w:tc>
          <w:tcPr>
            <w:tcW w:w="1420" w:type="dxa"/>
            <w:vMerge w:val="restart"/>
            <w:shd w:val="clear" w:color="auto" w:fill="auto"/>
            <w:vAlign w:val="center"/>
          </w:tcPr>
          <w:p w14:paraId="6AFA36F0">
            <w:pPr>
              <w:pStyle w:val="6"/>
              <w:widowControl/>
              <w:spacing w:beforeAutospacing="0" w:afterAutospacing="0" w:line="324" w:lineRule="atLeast"/>
            </w:pPr>
            <w:r>
              <w:rPr>
                <w:rStyle w:val="10"/>
              </w:rPr>
              <w:t>Stream In</w:t>
            </w:r>
          </w:p>
        </w:tc>
        <w:tc>
          <w:tcPr>
            <w:tcW w:w="8240" w:type="dxa"/>
            <w:gridSpan w:val="3"/>
            <w:shd w:val="clear" w:color="auto" w:fill="auto"/>
            <w:vAlign w:val="center"/>
          </w:tcPr>
          <w:p w14:paraId="3DBE9EF6">
            <w:pPr>
              <w:pStyle w:val="6"/>
              <w:widowControl/>
              <w:spacing w:beforeAutospacing="0" w:afterAutospacing="0" w:line="324" w:lineRule="atLeast"/>
            </w:pPr>
            <w:r>
              <w:t>MPTS/SPTS over UDP/RTP, 1000M Base-T Ethernet Interface/ SFP interface</w:t>
            </w:r>
          </w:p>
        </w:tc>
      </w:tr>
      <w:tr w14:paraId="53F822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420" w:type="dxa"/>
            <w:vMerge w:val="continue"/>
            <w:shd w:val="clear" w:color="auto" w:fill="auto"/>
            <w:vAlign w:val="center"/>
          </w:tcPr>
          <w:p w14:paraId="707D40C9">
            <w:pPr>
              <w:jc w:val="left"/>
              <w:rPr>
                <w:rFonts w:ascii="宋体"/>
                <w:sz w:val="24"/>
                <w:szCs w:val="24"/>
              </w:rPr>
            </w:pPr>
          </w:p>
        </w:tc>
        <w:tc>
          <w:tcPr>
            <w:tcW w:w="8240" w:type="dxa"/>
            <w:gridSpan w:val="3"/>
            <w:shd w:val="clear" w:color="auto" w:fill="auto"/>
            <w:vAlign w:val="center"/>
          </w:tcPr>
          <w:p w14:paraId="689B5BB9">
            <w:pPr>
              <w:pStyle w:val="6"/>
              <w:widowControl/>
              <w:spacing w:beforeAutospacing="0" w:afterAutospacing="0" w:line="324" w:lineRule="atLeast"/>
            </w:pPr>
            <w:r>
              <w:t>6 * (DVB-S/S2/C/T/ISDB-T/ATSC) Tuners; 6 * ASI (optional)</w:t>
            </w:r>
          </w:p>
        </w:tc>
      </w:tr>
      <w:tr w14:paraId="759870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420" w:type="dxa"/>
            <w:shd w:val="clear" w:color="auto" w:fill="auto"/>
            <w:vAlign w:val="center"/>
          </w:tcPr>
          <w:p w14:paraId="0DAF2366">
            <w:pPr>
              <w:pStyle w:val="6"/>
              <w:widowControl/>
              <w:spacing w:beforeAutospacing="0" w:afterAutospacing="0" w:line="324" w:lineRule="atLeast"/>
            </w:pPr>
            <w:r>
              <w:rPr>
                <w:rStyle w:val="10"/>
              </w:rPr>
              <w:t>BISS Descramble</w:t>
            </w:r>
          </w:p>
        </w:tc>
        <w:tc>
          <w:tcPr>
            <w:tcW w:w="8240" w:type="dxa"/>
            <w:gridSpan w:val="3"/>
            <w:shd w:val="clear" w:color="auto" w:fill="auto"/>
            <w:vAlign w:val="center"/>
          </w:tcPr>
          <w:p w14:paraId="44994563">
            <w:pPr>
              <w:pStyle w:val="6"/>
              <w:widowControl/>
              <w:spacing w:beforeAutospacing="0" w:afterAutospacing="0" w:line="324" w:lineRule="atLeast"/>
            </w:pPr>
            <w:r>
              <w:t>Maximum 8 programs</w:t>
            </w:r>
          </w:p>
        </w:tc>
      </w:tr>
      <w:tr w14:paraId="16B294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494BF619">
            <w:pPr>
              <w:pStyle w:val="6"/>
              <w:widowControl/>
              <w:spacing w:beforeAutospacing="0" w:afterAutospacing="0" w:line="324" w:lineRule="atLeast"/>
            </w:pPr>
            <w:r>
              <w:rPr>
                <w:rStyle w:val="10"/>
              </w:rPr>
              <w:t>Video </w:t>
            </w:r>
          </w:p>
        </w:tc>
        <w:tc>
          <w:tcPr>
            <w:tcW w:w="1749" w:type="dxa"/>
            <w:shd w:val="clear" w:color="auto" w:fill="auto"/>
            <w:vAlign w:val="center"/>
          </w:tcPr>
          <w:p w14:paraId="649DF2BA">
            <w:pPr>
              <w:pStyle w:val="6"/>
              <w:widowControl/>
              <w:spacing w:beforeAutospacing="0" w:afterAutospacing="0" w:line="324" w:lineRule="atLeast"/>
            </w:pPr>
            <w:r>
              <w:t>Resolution</w:t>
            </w:r>
          </w:p>
        </w:tc>
        <w:tc>
          <w:tcPr>
            <w:tcW w:w="6461" w:type="dxa"/>
            <w:gridSpan w:val="2"/>
            <w:shd w:val="clear" w:color="auto" w:fill="auto"/>
            <w:vAlign w:val="center"/>
          </w:tcPr>
          <w:p w14:paraId="61C34932">
            <w:pPr>
              <w:pStyle w:val="6"/>
              <w:widowControl/>
              <w:spacing w:beforeAutospacing="0" w:afterAutospacing="0" w:line="324" w:lineRule="atLeast"/>
            </w:pPr>
            <w:r>
              <w:t>1920x1080P,1920x1080i,1280x720P, 720x576i, 720x480i</w:t>
            </w:r>
          </w:p>
          <w:p w14:paraId="2362709E">
            <w:pPr>
              <w:pStyle w:val="6"/>
              <w:widowControl/>
              <w:spacing w:beforeAutospacing="0" w:afterAutospacing="0" w:line="324" w:lineRule="atLeast"/>
            </w:pPr>
            <w:r>
              <w:t>480x576, 544x576, 640x576, 704x576</w:t>
            </w:r>
          </w:p>
        </w:tc>
      </w:tr>
      <w:tr w14:paraId="54D999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20" w:hRule="atLeast"/>
          <w:tblCellSpacing w:w="0" w:type="dxa"/>
        </w:trPr>
        <w:tc>
          <w:tcPr>
            <w:tcW w:w="1420" w:type="dxa"/>
            <w:vMerge w:val="continue"/>
            <w:shd w:val="clear" w:color="auto" w:fill="auto"/>
            <w:vAlign w:val="center"/>
          </w:tcPr>
          <w:p w14:paraId="7A125D1C">
            <w:pPr>
              <w:jc w:val="left"/>
              <w:rPr>
                <w:rFonts w:ascii="宋体"/>
                <w:sz w:val="24"/>
                <w:szCs w:val="24"/>
              </w:rPr>
            </w:pPr>
          </w:p>
        </w:tc>
        <w:tc>
          <w:tcPr>
            <w:tcW w:w="1749" w:type="dxa"/>
            <w:vMerge w:val="restart"/>
            <w:shd w:val="clear" w:color="auto" w:fill="auto"/>
            <w:vAlign w:val="center"/>
          </w:tcPr>
          <w:p w14:paraId="0F29199F">
            <w:pPr>
              <w:pStyle w:val="6"/>
              <w:widowControl/>
              <w:spacing w:beforeAutospacing="0" w:afterAutospacing="0" w:line="324" w:lineRule="atLeast"/>
            </w:pPr>
            <w:r>
              <w:t>Trans-coding</w:t>
            </w:r>
          </w:p>
        </w:tc>
        <w:tc>
          <w:tcPr>
            <w:tcW w:w="6461" w:type="dxa"/>
            <w:gridSpan w:val="2"/>
            <w:shd w:val="clear" w:color="auto" w:fill="auto"/>
            <w:vAlign w:val="center"/>
          </w:tcPr>
          <w:p w14:paraId="78D89335">
            <w:pPr>
              <w:pStyle w:val="6"/>
              <w:widowControl/>
              <w:spacing w:beforeAutospacing="0" w:afterAutospacing="0" w:line="324" w:lineRule="atLeast"/>
            </w:pPr>
            <w:r>
              <w:t>4*MPEG2 HD → 4*MPEG2/H.264 HD ;</w:t>
            </w:r>
          </w:p>
          <w:p w14:paraId="764894E0">
            <w:pPr>
              <w:pStyle w:val="6"/>
              <w:widowControl/>
              <w:spacing w:beforeAutospacing="0" w:afterAutospacing="0" w:line="324" w:lineRule="atLeast"/>
            </w:pPr>
            <w:r>
              <w:t>4*MPEG2 HD → 4*MPEG2/H.264 SD ;</w:t>
            </w:r>
          </w:p>
          <w:p w14:paraId="57B9E5DA">
            <w:pPr>
              <w:pStyle w:val="6"/>
              <w:widowControl/>
              <w:spacing w:beforeAutospacing="0" w:afterAutospacing="0" w:line="324" w:lineRule="atLeast"/>
            </w:pPr>
            <w:r>
              <w:t>8 *MPEG2 SD → 8 *MPEG2/H.264 SD</w:t>
            </w:r>
          </w:p>
        </w:tc>
      </w:tr>
      <w:tr w14:paraId="0DD24E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420" w:type="dxa"/>
            <w:vMerge w:val="continue"/>
            <w:shd w:val="clear" w:color="auto" w:fill="auto"/>
            <w:vAlign w:val="center"/>
          </w:tcPr>
          <w:p w14:paraId="5D665F74">
            <w:pPr>
              <w:jc w:val="left"/>
              <w:rPr>
                <w:rFonts w:ascii="宋体"/>
                <w:sz w:val="24"/>
                <w:szCs w:val="24"/>
              </w:rPr>
            </w:pPr>
          </w:p>
        </w:tc>
        <w:tc>
          <w:tcPr>
            <w:tcW w:w="1749" w:type="dxa"/>
            <w:vMerge w:val="continue"/>
            <w:shd w:val="clear" w:color="auto" w:fill="auto"/>
            <w:vAlign w:val="center"/>
          </w:tcPr>
          <w:p w14:paraId="51B52DE7">
            <w:pPr>
              <w:jc w:val="left"/>
              <w:rPr>
                <w:rFonts w:ascii="宋体"/>
                <w:sz w:val="24"/>
                <w:szCs w:val="24"/>
              </w:rPr>
            </w:pPr>
          </w:p>
        </w:tc>
        <w:tc>
          <w:tcPr>
            <w:tcW w:w="6461" w:type="dxa"/>
            <w:gridSpan w:val="2"/>
            <w:shd w:val="clear" w:color="auto" w:fill="auto"/>
            <w:vAlign w:val="center"/>
          </w:tcPr>
          <w:p w14:paraId="01A3B139">
            <w:pPr>
              <w:pStyle w:val="6"/>
              <w:widowControl/>
              <w:spacing w:beforeAutospacing="0" w:afterAutospacing="0" w:line="324" w:lineRule="atLeast"/>
            </w:pPr>
            <w:r>
              <w:t>4* H.264 HD → 4*MPEG2/H.264 HD ;</w:t>
            </w:r>
          </w:p>
          <w:p w14:paraId="0B5C4D02">
            <w:pPr>
              <w:pStyle w:val="6"/>
              <w:widowControl/>
              <w:spacing w:beforeAutospacing="0" w:afterAutospacing="0" w:line="324" w:lineRule="atLeast"/>
            </w:pPr>
            <w:r>
              <w:t>4* H.264 HD → 4*MPEG2/H.264 SD ;</w:t>
            </w:r>
          </w:p>
          <w:p w14:paraId="591AF4EA">
            <w:pPr>
              <w:pStyle w:val="6"/>
              <w:widowControl/>
              <w:spacing w:beforeAutospacing="0" w:afterAutospacing="0" w:line="324" w:lineRule="atLeast"/>
            </w:pPr>
            <w:r>
              <w:t>8* H.264 SD → 8 *MPEG2/H.264 SD</w:t>
            </w:r>
          </w:p>
        </w:tc>
      </w:tr>
      <w:tr w14:paraId="1FF468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3D6A17E0">
            <w:pPr>
              <w:jc w:val="left"/>
              <w:rPr>
                <w:rFonts w:ascii="宋体"/>
                <w:sz w:val="24"/>
                <w:szCs w:val="24"/>
              </w:rPr>
            </w:pPr>
          </w:p>
        </w:tc>
        <w:tc>
          <w:tcPr>
            <w:tcW w:w="1749" w:type="dxa"/>
            <w:shd w:val="clear" w:color="auto" w:fill="auto"/>
            <w:vAlign w:val="center"/>
          </w:tcPr>
          <w:p w14:paraId="4EFD35C5">
            <w:pPr>
              <w:pStyle w:val="6"/>
              <w:widowControl/>
              <w:spacing w:beforeAutospacing="0" w:afterAutospacing="0" w:line="324" w:lineRule="atLeast"/>
            </w:pPr>
            <w:r>
              <w:t>Rate Control</w:t>
            </w:r>
          </w:p>
        </w:tc>
        <w:tc>
          <w:tcPr>
            <w:tcW w:w="6461" w:type="dxa"/>
            <w:gridSpan w:val="2"/>
            <w:shd w:val="clear" w:color="auto" w:fill="auto"/>
            <w:vAlign w:val="center"/>
          </w:tcPr>
          <w:p w14:paraId="6A49508F">
            <w:pPr>
              <w:pStyle w:val="6"/>
              <w:widowControl/>
              <w:spacing w:beforeAutospacing="0" w:afterAutospacing="0" w:line="324" w:lineRule="atLeast"/>
            </w:pPr>
            <w:r>
              <w:t>CBR/VBR  </w:t>
            </w:r>
          </w:p>
        </w:tc>
      </w:tr>
      <w:tr w14:paraId="62EC69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5ACCC865">
            <w:pPr>
              <w:pStyle w:val="6"/>
              <w:widowControl/>
              <w:spacing w:beforeAutospacing="0" w:afterAutospacing="0" w:line="324" w:lineRule="atLeast"/>
            </w:pPr>
            <w:r>
              <w:rPr>
                <w:rStyle w:val="10"/>
              </w:rPr>
              <w:t>Audio </w:t>
            </w:r>
          </w:p>
        </w:tc>
        <w:tc>
          <w:tcPr>
            <w:tcW w:w="1749" w:type="dxa"/>
            <w:shd w:val="clear" w:color="auto" w:fill="auto"/>
            <w:vAlign w:val="center"/>
          </w:tcPr>
          <w:p w14:paraId="45E43546">
            <w:pPr>
              <w:pStyle w:val="6"/>
              <w:widowControl/>
              <w:spacing w:beforeAutospacing="0" w:afterAutospacing="0" w:line="324" w:lineRule="atLeast"/>
            </w:pPr>
            <w:r>
              <w:t>Trans-coding</w:t>
            </w:r>
          </w:p>
        </w:tc>
        <w:tc>
          <w:tcPr>
            <w:tcW w:w="6461" w:type="dxa"/>
            <w:gridSpan w:val="2"/>
            <w:shd w:val="clear" w:color="auto" w:fill="auto"/>
            <w:vAlign w:val="center"/>
          </w:tcPr>
          <w:p w14:paraId="43046515">
            <w:pPr>
              <w:pStyle w:val="6"/>
              <w:widowControl/>
              <w:spacing w:beforeAutospacing="0" w:afterAutospacing="0" w:line="324" w:lineRule="atLeast"/>
            </w:pPr>
            <w:r>
              <w:t>MPEG-1 Layer 2, AAC and AC3(Optional) any-to-any or pass through</w:t>
            </w:r>
          </w:p>
        </w:tc>
      </w:tr>
      <w:tr w14:paraId="428839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2F7E004A">
            <w:pPr>
              <w:jc w:val="left"/>
              <w:rPr>
                <w:rFonts w:ascii="宋体"/>
                <w:sz w:val="24"/>
                <w:szCs w:val="24"/>
              </w:rPr>
            </w:pPr>
          </w:p>
        </w:tc>
        <w:tc>
          <w:tcPr>
            <w:tcW w:w="1749" w:type="dxa"/>
            <w:shd w:val="clear" w:color="auto" w:fill="auto"/>
            <w:vAlign w:val="center"/>
          </w:tcPr>
          <w:p w14:paraId="49FA13BA">
            <w:pPr>
              <w:pStyle w:val="6"/>
              <w:widowControl/>
              <w:spacing w:beforeAutospacing="0" w:afterAutospacing="0" w:line="324" w:lineRule="atLeast"/>
            </w:pPr>
            <w:r>
              <w:t>Sampling rate</w:t>
            </w:r>
          </w:p>
        </w:tc>
        <w:tc>
          <w:tcPr>
            <w:tcW w:w="6461" w:type="dxa"/>
            <w:gridSpan w:val="2"/>
            <w:shd w:val="clear" w:color="auto" w:fill="auto"/>
            <w:vAlign w:val="center"/>
          </w:tcPr>
          <w:p w14:paraId="3842A6C3">
            <w:pPr>
              <w:pStyle w:val="6"/>
              <w:widowControl/>
              <w:spacing w:beforeAutospacing="0" w:afterAutospacing="0" w:line="324" w:lineRule="atLeast"/>
            </w:pPr>
            <w:r>
              <w:t>48KHz  </w:t>
            </w:r>
          </w:p>
        </w:tc>
      </w:tr>
      <w:tr w14:paraId="0E9384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2544C8FE">
            <w:pPr>
              <w:jc w:val="left"/>
              <w:rPr>
                <w:rFonts w:ascii="宋体"/>
                <w:sz w:val="24"/>
                <w:szCs w:val="24"/>
              </w:rPr>
            </w:pPr>
          </w:p>
        </w:tc>
        <w:tc>
          <w:tcPr>
            <w:tcW w:w="1749" w:type="dxa"/>
            <w:shd w:val="clear" w:color="auto" w:fill="auto"/>
            <w:vAlign w:val="center"/>
          </w:tcPr>
          <w:p w14:paraId="20595FF6">
            <w:pPr>
              <w:pStyle w:val="6"/>
              <w:widowControl/>
              <w:spacing w:beforeAutospacing="0" w:afterAutospacing="0" w:line="324" w:lineRule="atLeast"/>
            </w:pPr>
            <w:r>
              <w:t>Bit Rate</w:t>
            </w:r>
          </w:p>
        </w:tc>
        <w:tc>
          <w:tcPr>
            <w:tcW w:w="6461" w:type="dxa"/>
            <w:gridSpan w:val="2"/>
            <w:shd w:val="clear" w:color="auto" w:fill="auto"/>
            <w:vAlign w:val="center"/>
          </w:tcPr>
          <w:p w14:paraId="679A13B9">
            <w:pPr>
              <w:pStyle w:val="6"/>
              <w:widowControl/>
              <w:spacing w:beforeAutospacing="0" w:afterAutospacing="0" w:line="324" w:lineRule="atLeast"/>
            </w:pPr>
            <w:r>
              <w:t>64Kbps-384Kbps  </w:t>
            </w:r>
          </w:p>
        </w:tc>
      </w:tr>
      <w:tr w14:paraId="058E1B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0" w:hRule="atLeast"/>
          <w:tblCellSpacing w:w="0" w:type="dxa"/>
        </w:trPr>
        <w:tc>
          <w:tcPr>
            <w:tcW w:w="1420" w:type="dxa"/>
            <w:vMerge w:val="restart"/>
            <w:shd w:val="clear" w:color="auto" w:fill="auto"/>
            <w:vAlign w:val="center"/>
          </w:tcPr>
          <w:p w14:paraId="14906F2D">
            <w:pPr>
              <w:pStyle w:val="6"/>
              <w:widowControl/>
              <w:spacing w:beforeAutospacing="0" w:afterAutospacing="0" w:line="324" w:lineRule="atLeast"/>
            </w:pPr>
            <w:r>
              <w:rPr>
                <w:rStyle w:val="10"/>
              </w:rPr>
              <w:t>Stream Out</w:t>
            </w:r>
          </w:p>
        </w:tc>
        <w:tc>
          <w:tcPr>
            <w:tcW w:w="8240" w:type="dxa"/>
            <w:gridSpan w:val="3"/>
            <w:shd w:val="clear" w:color="auto" w:fill="auto"/>
            <w:vAlign w:val="center"/>
          </w:tcPr>
          <w:p w14:paraId="3FA95A31">
            <w:pPr>
              <w:pStyle w:val="6"/>
              <w:widowControl/>
              <w:spacing w:beforeAutospacing="0" w:afterAutospacing="0" w:line="324" w:lineRule="atLeast"/>
            </w:pPr>
            <w:r>
              <w:t>8*SPTS &amp; 1*MPTS over UDP/RTP/RTSP, 1000M Base-T Ethernet Interface (UDP/RTP uni-cast / multicast)  /SFP interface</w:t>
            </w:r>
          </w:p>
        </w:tc>
      </w:tr>
      <w:tr w14:paraId="1E899C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420" w:type="dxa"/>
            <w:vMerge w:val="continue"/>
            <w:shd w:val="clear" w:color="auto" w:fill="auto"/>
            <w:vAlign w:val="center"/>
          </w:tcPr>
          <w:p w14:paraId="34D8C95E">
            <w:pPr>
              <w:jc w:val="left"/>
              <w:rPr>
                <w:rFonts w:ascii="宋体"/>
                <w:sz w:val="24"/>
                <w:szCs w:val="24"/>
              </w:rPr>
            </w:pPr>
          </w:p>
        </w:tc>
        <w:tc>
          <w:tcPr>
            <w:tcW w:w="8240" w:type="dxa"/>
            <w:gridSpan w:val="3"/>
            <w:shd w:val="clear" w:color="auto" w:fill="auto"/>
            <w:vAlign w:val="center"/>
          </w:tcPr>
          <w:p w14:paraId="1EACB3BD">
            <w:pPr>
              <w:pStyle w:val="6"/>
              <w:widowControl/>
              <w:spacing w:beforeAutospacing="0" w:afterAutospacing="0" w:line="324" w:lineRule="atLeast"/>
            </w:pPr>
            <w:r>
              <w:t>1*ASI (as a copy of one of the 8 SPTS or the MPTS) output, BNC interface</w:t>
            </w:r>
          </w:p>
        </w:tc>
      </w:tr>
      <w:tr w14:paraId="6C47EF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03919D2A">
            <w:pPr>
              <w:pStyle w:val="6"/>
              <w:widowControl/>
              <w:spacing w:beforeAutospacing="0" w:afterAutospacing="0" w:line="324" w:lineRule="atLeast"/>
            </w:pPr>
            <w:r>
              <w:rPr>
                <w:rStyle w:val="10"/>
              </w:rPr>
              <w:t>System Function </w:t>
            </w:r>
          </w:p>
        </w:tc>
        <w:tc>
          <w:tcPr>
            <w:tcW w:w="8240" w:type="dxa"/>
            <w:gridSpan w:val="3"/>
            <w:shd w:val="clear" w:color="auto" w:fill="auto"/>
            <w:vAlign w:val="center"/>
          </w:tcPr>
          <w:p w14:paraId="7370B33A">
            <w:pPr>
              <w:pStyle w:val="6"/>
              <w:widowControl/>
              <w:spacing w:beforeAutospacing="0" w:afterAutospacing="0" w:line="324" w:lineRule="atLeast"/>
            </w:pPr>
            <w:r>
              <w:t>LCD &amp; Key board control; web NMS management</w:t>
            </w:r>
          </w:p>
        </w:tc>
      </w:tr>
      <w:tr w14:paraId="603E3C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673CE881">
            <w:pPr>
              <w:jc w:val="left"/>
              <w:rPr>
                <w:rFonts w:ascii="宋体"/>
                <w:sz w:val="24"/>
                <w:szCs w:val="24"/>
              </w:rPr>
            </w:pPr>
          </w:p>
        </w:tc>
        <w:tc>
          <w:tcPr>
            <w:tcW w:w="8240" w:type="dxa"/>
            <w:gridSpan w:val="3"/>
            <w:shd w:val="clear" w:color="auto" w:fill="auto"/>
            <w:vAlign w:val="center"/>
          </w:tcPr>
          <w:p w14:paraId="120DE734">
            <w:pPr>
              <w:pStyle w:val="6"/>
              <w:widowControl/>
              <w:spacing w:beforeAutospacing="0" w:afterAutospacing="0" w:line="324" w:lineRule="atLeast"/>
            </w:pPr>
            <w:r>
              <w:t>Ethernet software upgrade </w:t>
            </w:r>
          </w:p>
        </w:tc>
      </w:tr>
      <w:tr w14:paraId="4A8B5F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restart"/>
            <w:shd w:val="clear" w:color="auto" w:fill="auto"/>
            <w:vAlign w:val="center"/>
          </w:tcPr>
          <w:p w14:paraId="456B33BB">
            <w:pPr>
              <w:pStyle w:val="6"/>
              <w:widowControl/>
              <w:spacing w:beforeAutospacing="0" w:afterAutospacing="0" w:line="324" w:lineRule="atLeast"/>
            </w:pPr>
            <w:r>
              <w:rPr>
                <w:rStyle w:val="10"/>
              </w:rPr>
              <w:t>General </w:t>
            </w:r>
          </w:p>
        </w:tc>
        <w:tc>
          <w:tcPr>
            <w:tcW w:w="3360" w:type="dxa"/>
            <w:gridSpan w:val="2"/>
            <w:shd w:val="clear" w:color="auto" w:fill="auto"/>
            <w:vAlign w:val="center"/>
          </w:tcPr>
          <w:p w14:paraId="6D0A7EB0">
            <w:pPr>
              <w:pStyle w:val="6"/>
              <w:widowControl/>
              <w:spacing w:beforeAutospacing="0" w:afterAutospacing="0" w:line="324" w:lineRule="atLeast"/>
            </w:pPr>
            <w:r>
              <w:t>Dimensions</w:t>
            </w:r>
          </w:p>
        </w:tc>
        <w:tc>
          <w:tcPr>
            <w:tcW w:w="4850" w:type="dxa"/>
            <w:shd w:val="clear" w:color="auto" w:fill="auto"/>
            <w:vAlign w:val="center"/>
          </w:tcPr>
          <w:p w14:paraId="25057877">
            <w:pPr>
              <w:pStyle w:val="6"/>
              <w:widowControl/>
              <w:spacing w:beforeAutospacing="0" w:afterAutospacing="0" w:line="324" w:lineRule="atLeast"/>
            </w:pPr>
            <w:r>
              <w:t>430mm×405mm×45mm(WxDxH)  </w:t>
            </w:r>
          </w:p>
        </w:tc>
      </w:tr>
      <w:tr w14:paraId="790035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0495615B">
            <w:pPr>
              <w:jc w:val="left"/>
              <w:rPr>
                <w:rFonts w:ascii="宋体"/>
                <w:sz w:val="24"/>
                <w:szCs w:val="24"/>
              </w:rPr>
            </w:pPr>
          </w:p>
        </w:tc>
        <w:tc>
          <w:tcPr>
            <w:tcW w:w="3360" w:type="dxa"/>
            <w:gridSpan w:val="2"/>
            <w:shd w:val="clear" w:color="auto" w:fill="auto"/>
            <w:vAlign w:val="center"/>
          </w:tcPr>
          <w:p w14:paraId="11B22C87">
            <w:pPr>
              <w:pStyle w:val="6"/>
              <w:widowControl/>
              <w:spacing w:beforeAutospacing="0" w:afterAutospacing="0" w:line="324" w:lineRule="atLeast"/>
            </w:pPr>
            <w:r>
              <w:t>Approx weight</w:t>
            </w:r>
          </w:p>
        </w:tc>
        <w:tc>
          <w:tcPr>
            <w:tcW w:w="4850" w:type="dxa"/>
            <w:shd w:val="clear" w:color="auto" w:fill="auto"/>
            <w:vAlign w:val="center"/>
          </w:tcPr>
          <w:p w14:paraId="00D21707">
            <w:pPr>
              <w:pStyle w:val="6"/>
              <w:widowControl/>
              <w:spacing w:beforeAutospacing="0" w:afterAutospacing="0" w:line="324" w:lineRule="atLeast"/>
            </w:pPr>
            <w:r>
              <w:t>4.8 Kg  </w:t>
            </w:r>
          </w:p>
        </w:tc>
      </w:tr>
      <w:tr w14:paraId="12F403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5C4C3993">
            <w:pPr>
              <w:jc w:val="left"/>
              <w:rPr>
                <w:rFonts w:ascii="宋体"/>
                <w:sz w:val="24"/>
                <w:szCs w:val="24"/>
              </w:rPr>
            </w:pPr>
          </w:p>
        </w:tc>
        <w:tc>
          <w:tcPr>
            <w:tcW w:w="3360" w:type="dxa"/>
            <w:gridSpan w:val="2"/>
            <w:shd w:val="clear" w:color="auto" w:fill="auto"/>
            <w:vAlign w:val="center"/>
          </w:tcPr>
          <w:p w14:paraId="5AF6D9DF">
            <w:pPr>
              <w:pStyle w:val="6"/>
              <w:widowControl/>
              <w:spacing w:beforeAutospacing="0" w:afterAutospacing="0" w:line="324" w:lineRule="atLeast"/>
            </w:pPr>
            <w:r>
              <w:t>Temperature range </w:t>
            </w:r>
          </w:p>
        </w:tc>
        <w:tc>
          <w:tcPr>
            <w:tcW w:w="4850" w:type="dxa"/>
            <w:shd w:val="clear" w:color="auto" w:fill="auto"/>
            <w:vAlign w:val="center"/>
          </w:tcPr>
          <w:p w14:paraId="442DC6B2">
            <w:pPr>
              <w:pStyle w:val="6"/>
              <w:widowControl/>
              <w:spacing w:beforeAutospacing="0" w:afterAutospacing="0" w:line="324" w:lineRule="atLeast"/>
            </w:pPr>
            <w:r>
              <w:t> 0~45℃(Operation), -20~80℃(Storage) </w:t>
            </w:r>
          </w:p>
        </w:tc>
      </w:tr>
      <w:tr w14:paraId="16EC17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5FB76257">
            <w:pPr>
              <w:jc w:val="left"/>
              <w:rPr>
                <w:rFonts w:ascii="宋体"/>
                <w:sz w:val="24"/>
                <w:szCs w:val="24"/>
              </w:rPr>
            </w:pPr>
          </w:p>
        </w:tc>
        <w:tc>
          <w:tcPr>
            <w:tcW w:w="3360" w:type="dxa"/>
            <w:gridSpan w:val="2"/>
            <w:shd w:val="clear" w:color="auto" w:fill="auto"/>
            <w:vAlign w:val="center"/>
          </w:tcPr>
          <w:p w14:paraId="1179557E">
            <w:pPr>
              <w:pStyle w:val="6"/>
              <w:widowControl/>
              <w:spacing w:beforeAutospacing="0" w:afterAutospacing="0" w:line="324" w:lineRule="atLeast"/>
            </w:pPr>
            <w:r>
              <w:t>Power requirements  </w:t>
            </w:r>
          </w:p>
        </w:tc>
        <w:tc>
          <w:tcPr>
            <w:tcW w:w="4850" w:type="dxa"/>
            <w:shd w:val="clear" w:color="auto" w:fill="auto"/>
            <w:vAlign w:val="center"/>
          </w:tcPr>
          <w:p w14:paraId="53BF9043">
            <w:pPr>
              <w:pStyle w:val="6"/>
              <w:widowControl/>
              <w:spacing w:beforeAutospacing="0" w:afterAutospacing="0" w:line="324" w:lineRule="atLeast"/>
            </w:pPr>
            <w:r>
              <w:t>AC 110V±10%, 50/60Hz or AC 220V±10%,50/60Hz </w:t>
            </w:r>
          </w:p>
        </w:tc>
      </w:tr>
      <w:tr w14:paraId="79DE5D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20" w:type="dxa"/>
            <w:vMerge w:val="continue"/>
            <w:shd w:val="clear" w:color="auto" w:fill="auto"/>
            <w:vAlign w:val="center"/>
          </w:tcPr>
          <w:p w14:paraId="197D18DC">
            <w:pPr>
              <w:jc w:val="left"/>
              <w:rPr>
                <w:rFonts w:ascii="宋体"/>
                <w:sz w:val="24"/>
                <w:szCs w:val="24"/>
              </w:rPr>
            </w:pPr>
          </w:p>
        </w:tc>
        <w:tc>
          <w:tcPr>
            <w:tcW w:w="3360" w:type="dxa"/>
            <w:gridSpan w:val="2"/>
            <w:shd w:val="clear" w:color="auto" w:fill="auto"/>
            <w:vAlign w:val="center"/>
          </w:tcPr>
          <w:p w14:paraId="7C6B8F6E">
            <w:pPr>
              <w:pStyle w:val="6"/>
              <w:widowControl/>
              <w:spacing w:beforeAutospacing="0" w:afterAutospacing="0" w:line="324" w:lineRule="atLeast"/>
            </w:pPr>
            <w:r>
              <w:t>Power consumption  </w:t>
            </w:r>
          </w:p>
        </w:tc>
        <w:tc>
          <w:tcPr>
            <w:tcW w:w="4850" w:type="dxa"/>
            <w:shd w:val="clear" w:color="auto" w:fill="auto"/>
            <w:vAlign w:val="center"/>
          </w:tcPr>
          <w:p w14:paraId="1926066D">
            <w:pPr>
              <w:pStyle w:val="6"/>
              <w:widowControl/>
              <w:spacing w:beforeAutospacing="0" w:afterAutospacing="0" w:line="324" w:lineRule="atLeast"/>
            </w:pPr>
            <w:r>
              <w:t>20W</w:t>
            </w:r>
          </w:p>
        </w:tc>
      </w:tr>
    </w:tbl>
    <w:p w14:paraId="7D4F339C">
      <w:pPr>
        <w:pStyle w:val="6"/>
        <w:widowControl/>
        <w:spacing w:beforeAutospacing="0" w:afterAutospacing="0" w:line="324" w:lineRule="atLeast"/>
      </w:pPr>
      <w:r>
        <w:rPr>
          <w:rFonts w:ascii="Verdana" w:hAnsi="Verdana" w:cs="Verdana"/>
          <w:color w:val="333333"/>
          <w:sz w:val="18"/>
          <w:szCs w:val="18"/>
          <w:shd w:val="clear" w:color="auto" w:fill="FEFCFD"/>
        </w:rPr>
        <w:t> </w:t>
      </w:r>
    </w:p>
    <w:p w14:paraId="53A1E273">
      <w:pPr>
        <w:widowControl/>
        <w:shd w:val="clear" w:color="auto" w:fill="F2F2F4"/>
        <w:jc w:val="left"/>
        <w:rPr>
          <w:rFonts w:ascii="Verdana" w:hAnsi="Verdana" w:cs="Verdana"/>
          <w:color w:val="333333"/>
          <w:sz w:val="18"/>
          <w:szCs w:val="18"/>
        </w:rPr>
      </w:pPr>
    </w:p>
    <w:p w14:paraId="3C314376">
      <w:pPr>
        <w:rPr>
          <w:rFonts w:ascii="Verdana" w:hAnsi="Verdana" w:cs="Verdana"/>
          <w:color w:val="000000"/>
          <w:sz w:val="28"/>
        </w:rPr>
      </w:pPr>
    </w:p>
    <w:p w14:paraId="688C4E1D">
      <w:pPr>
        <w:rPr>
          <w:rFonts w:ascii="Verdana" w:hAnsi="Verdana" w:cs="Verdana"/>
          <w:b/>
          <w:color w:val="000000"/>
          <w:sz w:val="22"/>
        </w:rPr>
      </w:pPr>
      <w:r>
        <w:rPr>
          <w:rFonts w:hint="eastAsia" w:ascii="Verdana" w:hAnsi="Verdana" w:cs="Verdana"/>
          <w:b/>
          <w:color w:val="000000"/>
          <w:sz w:val="22"/>
        </w:rPr>
        <w:t>About Us</w:t>
      </w:r>
    </w:p>
    <w:p w14:paraId="0DF24E3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2ACEF76">
      <w:pPr>
        <w:rPr>
          <w:rFonts w:ascii="Verdana" w:hAnsi="Verdana" w:cs="Verdana"/>
          <w:color w:val="000000"/>
          <w:sz w:val="18"/>
        </w:rPr>
      </w:pPr>
    </w:p>
    <w:p w14:paraId="16057FAA">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87CE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156DE9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F5B6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C0937"/>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3FDB"/>
    <w:rsid w:val="00BD4043"/>
    <w:rsid w:val="00C44FAF"/>
    <w:rsid w:val="00D24477"/>
    <w:rsid w:val="00F268A0"/>
    <w:rsid w:val="00F714FF"/>
    <w:rsid w:val="00F7593F"/>
    <w:rsid w:val="00FC60FC"/>
    <w:rsid w:val="022E6948"/>
    <w:rsid w:val="033D434A"/>
    <w:rsid w:val="0A680B1B"/>
    <w:rsid w:val="0E714EC9"/>
    <w:rsid w:val="0FC87CEA"/>
    <w:rsid w:val="101C4557"/>
    <w:rsid w:val="11C700A0"/>
    <w:rsid w:val="15C25510"/>
    <w:rsid w:val="18AE427D"/>
    <w:rsid w:val="18E81EA3"/>
    <w:rsid w:val="1B974A15"/>
    <w:rsid w:val="1CDC4CA0"/>
    <w:rsid w:val="1D9E7F23"/>
    <w:rsid w:val="1F391135"/>
    <w:rsid w:val="1FCC39C5"/>
    <w:rsid w:val="20F61905"/>
    <w:rsid w:val="2199682E"/>
    <w:rsid w:val="239E3C7B"/>
    <w:rsid w:val="25441611"/>
    <w:rsid w:val="26100EA9"/>
    <w:rsid w:val="27B55639"/>
    <w:rsid w:val="2A752F8B"/>
    <w:rsid w:val="2C665CEA"/>
    <w:rsid w:val="2E0F6BE8"/>
    <w:rsid w:val="314F3E41"/>
    <w:rsid w:val="3B533162"/>
    <w:rsid w:val="45872050"/>
    <w:rsid w:val="461B0C4C"/>
    <w:rsid w:val="478E224E"/>
    <w:rsid w:val="485E04E5"/>
    <w:rsid w:val="487316FE"/>
    <w:rsid w:val="49B75FAC"/>
    <w:rsid w:val="4E4A4BF6"/>
    <w:rsid w:val="4F8D25ED"/>
    <w:rsid w:val="4FC41BA9"/>
    <w:rsid w:val="51AD130D"/>
    <w:rsid w:val="524B3227"/>
    <w:rsid w:val="540A3FAB"/>
    <w:rsid w:val="562E484B"/>
    <w:rsid w:val="56834992"/>
    <w:rsid w:val="5930748A"/>
    <w:rsid w:val="59933671"/>
    <w:rsid w:val="5AA83521"/>
    <w:rsid w:val="5DB97B43"/>
    <w:rsid w:val="5EEA5249"/>
    <w:rsid w:val="603E0F2C"/>
    <w:rsid w:val="609213A6"/>
    <w:rsid w:val="61BA6334"/>
    <w:rsid w:val="63C27F07"/>
    <w:rsid w:val="68AD6386"/>
    <w:rsid w:val="6D7A6503"/>
    <w:rsid w:val="70757613"/>
    <w:rsid w:val="70B756B4"/>
    <w:rsid w:val="73270F88"/>
    <w:rsid w:val="74455F31"/>
    <w:rsid w:val="7540100C"/>
    <w:rsid w:val="77935A18"/>
    <w:rsid w:val="78F63BFB"/>
    <w:rsid w:val="7B456740"/>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Transcoder/NDS3248/3EEECN_20131226012312.jpg" TargetMode="External"/><Relationship Id="rId8" Type="http://schemas.openxmlformats.org/officeDocument/2006/relationships/image" Target="media/image3.jpeg"/><Relationship Id="rId7" Type="http://schemas.openxmlformats.org/officeDocument/2006/relationships/hyperlink" Target="https://english.dsdvb.com/Upload/images/Product/Transcoder/NDS3248/3EEECN_20180403061209.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Transcoder/NDS3248/3EEECN_20140806092943.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341</Words>
  <Characters>2054</Characters>
  <Lines>22</Lines>
  <Paragraphs>6</Paragraphs>
  <TotalTime>31</TotalTime>
  <ScaleCrop>false</ScaleCrop>
  <LinksUpToDate>false</LinksUpToDate>
  <CharactersWithSpaces>2395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2026-08-11T06:43:08Z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