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C69A7A">
      <w:pPr>
        <w:pStyle w:val="6"/>
        <w:widowControl/>
        <w:spacing w:beforeAutospacing="0" w:afterAutospacing="0" w:line="324" w:lineRule="atLeast"/>
        <w:jc w:val="center"/>
        <w:rPr>
          <w:rFonts w:ascii="Verdana" w:hAnsi="Verdana" w:cs="Verdana"/>
          <w:b/>
          <w:color w:val="000000"/>
          <w:sz w:val="28"/>
        </w:rPr>
      </w:pPr>
      <w:r>
        <w:rPr>
          <w:rFonts w:hint="eastAsia" w:ascii="Verdana" w:hAnsi="Verdana" w:cs="Verdana"/>
          <w:b/>
          <w:i w:val="0"/>
          <w:strike w:val="0"/>
          <w:color w:val="000000"/>
          <w:sz w:val="28"/>
          <w:lang w:eastAsia="zh-CN"/>
        </w:rPr>
        <w:t>FMUSER FUQ-4359B Transcoder 4 Tuner + 8 IP Inputs MPEG-2 H.264 MPEG-2 HD SD Bidirectional Transcoding ASI UDP-RTP Streaming BISS Descrambling Cable Satellite Broadcast</w:t>
      </w:r>
    </w:p>
    <w:p w14:paraId="609D9265">
      <w:pPr>
        <w:pStyle w:val="6"/>
        <w:widowControl/>
        <w:spacing w:beforeAutospacing="0" w:afterAutospacing="0" w:line="324" w:lineRule="atLeast"/>
        <w:jc w:val="center"/>
      </w:pPr>
      <w:bookmarkStart w:id="0" w:name="_GoBack"/>
      <w:r>
        <w:rPr>
          <w:rFonts w:ascii="Verdana" w:hAnsi="Verdana" w:cs="Verdana"/>
          <w:color w:val="000000"/>
          <w:sz w:val="28"/>
        </w:rPr>
        <w:drawing>
          <wp:inline distT="0" distB="0" distL="114300" distR="114300">
            <wp:extent cx="6181725" cy="3400425"/>
            <wp:effectExtent l="0" t="0" r="9525" b="9525"/>
            <wp:docPr id="1" name="图片 1" descr="3EEECN_20180822071150"/>
            <wp:cNvGraphicFramePr/>
            <a:graphic xmlns:a="http://schemas.openxmlformats.org/drawingml/2006/main">
              <a:graphicData uri="http://schemas.openxmlformats.org/drawingml/2006/picture">
                <pic:pic xmlns:pic="http://schemas.openxmlformats.org/drawingml/2006/picture">
                  <pic:nvPicPr>
                    <pic:cNvPr id="1" name="图片 1" descr="3EEECN_20180822071150"/>
                    <pic:cNvPicPr/>
                  </pic:nvPicPr>
                  <pic:blipFill>
                    <a:blip r:embed="rId6"/>
                    <a:stretch>
                      <a:fillRect/>
                    </a:stretch>
                  </pic:blipFill>
                  <pic:spPr>
                    <a:xfrm>
                      <a:off x="0" y="0"/>
                      <a:ext cx="6181725" cy="3400425"/>
                    </a:xfrm>
                    <a:prstGeom prst="rect">
                      <a:avLst/>
                    </a:prstGeom>
                  </pic:spPr>
                </pic:pic>
              </a:graphicData>
            </a:graphic>
          </wp:inline>
        </w:drawing>
      </w:r>
      <w:bookmarkEnd w:id="0"/>
      <w:r>
        <w:rPr>
          <w:rFonts w:ascii="Verdana" w:hAnsi="Verdana" w:cs="Verdana"/>
          <w:color w:val="333333"/>
          <w:sz w:val="18"/>
          <w:szCs w:val="18"/>
          <w:shd w:val="clear" w:color="auto" w:fill="FEFCFD"/>
        </w:rPr>
        <w:drawing>
          <wp:inline distT="0" distB="0" distL="114300" distR="114300">
            <wp:extent cx="6185535" cy="1630680"/>
            <wp:effectExtent l="0" t="0" r="5715" b="762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5535" cy="1630680"/>
                    </a:xfrm>
                    <a:prstGeom prst="rect">
                      <a:avLst/>
                    </a:prstGeom>
                    <a:noFill/>
                    <a:ln w="9525">
                      <a:noFill/>
                    </a:ln>
                  </pic:spPr>
                </pic:pic>
              </a:graphicData>
            </a:graphic>
          </wp:inline>
        </w:drawing>
      </w:r>
    </w:p>
    <w:p w14:paraId="5FC33257">
      <w:pPr>
        <w:pStyle w:val="6"/>
        <w:widowControl/>
        <w:spacing w:beforeAutospacing="0" w:afterAutospacing="0" w:line="324" w:lineRule="atLeast"/>
      </w:pPr>
      <w:r>
        <w:rPr>
          <w:rStyle w:val="10"/>
          <w:rFonts w:ascii="Verdana" w:hAnsi="Verdana" w:cs="Verdana"/>
          <w:color w:val="FF0000"/>
          <w:sz w:val="18"/>
          <w:szCs w:val="18"/>
          <w:shd w:val="clear" w:color="auto" w:fill="FEFCFD"/>
        </w:rPr>
        <w:t>Remarks: </w:t>
      </w:r>
      <w:r>
        <w:rPr>
          <w:rFonts w:ascii="Verdana" w:hAnsi="Verdana" w:cs="Verdana"/>
          <w:color w:val="FF0000"/>
          <w:sz w:val="18"/>
          <w:szCs w:val="18"/>
          <w:shd w:val="clear" w:color="auto" w:fill="FEFCFD"/>
        </w:rPr>
        <w:t>All</w:t>
      </w:r>
      <w:r>
        <w:rPr>
          <w:rStyle w:val="12"/>
          <w:rFonts w:ascii="Verdana" w:hAnsi="Verdana" w:cs="Verdana"/>
          <w:i w:val="0"/>
          <w:color w:val="FF0000"/>
          <w:sz w:val="18"/>
          <w:szCs w:val="18"/>
          <w:shd w:val="clear" w:color="auto" w:fill="FEFCFD"/>
        </w:rPr>
        <w:t> H.264</w:t>
      </w:r>
      <w:r>
        <w:rPr>
          <w:rFonts w:ascii="Verdana" w:hAnsi="Verdana" w:cs="Verdana"/>
          <w:color w:val="FF0000"/>
          <w:sz w:val="18"/>
          <w:szCs w:val="18"/>
          <w:shd w:val="clear" w:color="auto" w:fill="FEFCFD"/>
        </w:rPr>
        <w:t> mentioned in this sheet refers to </w:t>
      </w:r>
      <w:r>
        <w:rPr>
          <w:rStyle w:val="12"/>
          <w:rFonts w:ascii="Verdana" w:hAnsi="Verdana" w:cs="Verdana"/>
          <w:i w:val="0"/>
          <w:color w:val="FF0000"/>
          <w:sz w:val="18"/>
          <w:szCs w:val="18"/>
          <w:shd w:val="clear" w:color="auto" w:fill="FEFCFD"/>
        </w:rPr>
        <w:t>MPEG-4 AVC/H.264</w:t>
      </w:r>
      <w:r>
        <w:rPr>
          <w:rFonts w:ascii="Verdana" w:hAnsi="Verdana" w:cs="Verdana"/>
          <w:color w:val="FF0000"/>
          <w:sz w:val="18"/>
          <w:szCs w:val="18"/>
          <w:shd w:val="clear" w:color="auto" w:fill="FEFCFD"/>
        </w:rPr>
        <w:t>.</w:t>
      </w:r>
    </w:p>
    <w:p w14:paraId="0ABD3A06">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Cs w:val="24"/>
          <w:shd w:val="clear" w:color="auto" w:fill="FEFCFD"/>
          <w:lang w:eastAsia="zh-CN"/>
        </w:rPr>
        <w:t>Product overview</w:t>
      </w:r>
    </w:p>
    <w:p w14:paraId="41B377D3">
      <w:pPr>
        <w:pStyle w:val="6"/>
        <w:widowControl/>
        <w:spacing w:beforeAutospacing="0" w:afterAutospacing="0" w:line="324" w:lineRule="atLeast"/>
      </w:pPr>
      <w:r>
        <w:rPr>
          <w:rFonts w:hint="eastAsia" w:ascii="Verdana" w:hAnsi="Verdana" w:cs="Verdana"/>
          <w:color w:val="333333"/>
          <w:sz w:val="18"/>
          <w:szCs w:val="18"/>
          <w:shd w:val="clear" w:color="auto" w:fill="FEFCFD"/>
        </w:rPr>
        <w:t>The FMUSER FUQ-4359B transcoder enables bidirectional conversion between H.264 and MPEG-2, HD and SD. It processes signals with inputs including 4 tuners featuring CAM/CI slots and IP inputs, and outputs MPTS/SPTS via ASI or DATA ports. Managed via web-based NMS, it suits broadcast operators in cable TV and satellite systems for efficient signal handling.</w:t>
      </w:r>
      <w:r>
        <w:rPr>
          <w:rFonts w:ascii="Verdana" w:hAnsi="Verdana" w:cs="Verdana"/>
          <w:color w:val="333333"/>
          <w:sz w:val="18"/>
          <w:szCs w:val="18"/>
          <w:shd w:val="clear" w:color="auto" w:fill="FEFCFD"/>
        </w:rPr>
        <w:t> </w:t>
      </w:r>
    </w:p>
    <w:p w14:paraId="59C4A08A">
      <w:pPr>
        <w:pStyle w:val="6"/>
        <w:widowControl/>
        <w:spacing w:beforeAutospacing="0" w:afterAutospacing="0" w:line="324" w:lineRule="atLeast"/>
        <w:rPr>
          <w:rFonts w:hint="eastAsia" w:ascii="Verdana" w:hAnsi="Verdana" w:cs="Verdana"/>
          <w:color w:val="333333"/>
          <w:sz w:val="18"/>
          <w:szCs w:val="18"/>
          <w:shd w:val="clear" w:color="auto" w:fill="FEFCFD"/>
        </w:rPr>
      </w:pPr>
      <w:r>
        <w:rPr>
          <w:rStyle w:val="10"/>
          <w:rFonts w:hint="eastAsia" w:ascii="Verdana" w:hAnsi="Verdana" w:cs="Verdana"/>
          <w:color w:val="333333"/>
          <w:sz w:val="21"/>
          <w:szCs w:val="21"/>
          <w:shd w:val="clear" w:color="auto" w:fill="FEFCFD"/>
          <w:lang w:eastAsia="zh-CN"/>
        </w:rPr>
        <w:t>Key feature</w:t>
      </w:r>
    </w:p>
    <w:p w14:paraId="3BF46293">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Supports bidirectional video transcoding between MPEG-2 and H.264 for up to 8 SD or 4 HD programs.  </w:t>
      </w:r>
    </w:p>
    <w:p w14:paraId="17596FD7">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Includes flexible I/O with 4 tuners having CAM/CI slots, 8 IP inputs, and outputs via ASI or UDP/RTP/RTSP for 8 SPTS &amp; 1 MPTS.  </w:t>
      </w:r>
    </w:p>
    <w:p w14:paraId="1ADEBB9B">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Handles audio transcoding for LC-AAC, MP2, and AC3 formats with any-to-any conversion.  </w:t>
      </w:r>
    </w:p>
    <w:p w14:paraId="660107E6">
      <w:pPr>
        <w:pStyle w:val="6"/>
        <w:widowControl/>
        <w:spacing w:beforeAutospacing="0" w:afterAutospacing="0" w:line="324" w:lineRule="atLeast"/>
      </w:pPr>
      <w:r>
        <w:rPr>
          <w:rFonts w:hint="eastAsia" w:ascii="Verdana" w:hAnsi="Verdana" w:cs="Verdana"/>
          <w:color w:val="333333"/>
          <w:sz w:val="18"/>
          <w:szCs w:val="18"/>
          <w:shd w:val="clear" w:color="auto" w:fill="FEFCFD"/>
        </w:rPr>
        <w:t xml:space="preserve">Offers advanced functions like BISS descrambling, CC, and web-based NMS control.  </w:t>
      </w:r>
    </w:p>
    <w:p w14:paraId="0F6C5DEB">
      <w:pPr>
        <w:pStyle w:val="6"/>
        <w:widowControl/>
        <w:spacing w:beforeAutospacing="0" w:afterAutospacing="0" w:line="324" w:lineRule="atLeast"/>
      </w:pPr>
      <w:r>
        <w:rPr>
          <w:rStyle w:val="10"/>
          <w:rFonts w:ascii="Verdana" w:hAnsi="Verdana" w:cs="Verdana"/>
          <w:color w:val="333333"/>
          <w:sz w:val="21"/>
          <w:szCs w:val="21"/>
          <w:shd w:val="clear" w:color="auto" w:fill="FEFCFD"/>
        </w:rPr>
        <w:t>Principle Chart </w:t>
      </w:r>
    </w:p>
    <w:p w14:paraId="4871A60B">
      <w:pPr>
        <w:pStyle w:val="6"/>
        <w:widowControl/>
        <w:spacing w:beforeAutospacing="0" w:afterAutospacing="0" w:line="324" w:lineRule="atLeast"/>
      </w:pPr>
      <w:r>
        <w:rPr>
          <w:rFonts w:ascii="Verdana" w:hAnsi="Verdana" w:cs="Verdana"/>
          <w:color w:val="333333"/>
          <w:sz w:val="18"/>
          <w:szCs w:val="18"/>
          <w:shd w:val="clear" w:color="auto" w:fill="FEFCFD"/>
        </w:rPr>
        <w:t> </w:t>
      </w:r>
    </w:p>
    <w:p w14:paraId="1215FF8A">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4900" cy="1685925"/>
            <wp:effectExtent l="0" t="0" r="6350" b="9525"/>
            <wp:docPr id="6"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7"/>
                    <pic:cNvPicPr>
                      <a:picLocks noChangeAspect="1"/>
                    </pic:cNvPicPr>
                  </pic:nvPicPr>
                  <pic:blipFill>
                    <a:blip r:embed="rId10"/>
                    <a:stretch>
                      <a:fillRect/>
                    </a:stretch>
                  </pic:blipFill>
                  <pic:spPr>
                    <a:xfrm>
                      <a:off x="0" y="0"/>
                      <a:ext cx="6184900" cy="1685925"/>
                    </a:xfrm>
                    <a:prstGeom prst="rect">
                      <a:avLst/>
                    </a:prstGeom>
                    <a:noFill/>
                    <a:ln w="9525">
                      <a:noFill/>
                    </a:ln>
                  </pic:spPr>
                </pic:pic>
              </a:graphicData>
            </a:graphic>
          </wp:inline>
        </w:drawing>
      </w:r>
    </w:p>
    <w:p w14:paraId="571F34AA">
      <w:pPr>
        <w:pStyle w:val="6"/>
        <w:widowControl/>
        <w:spacing w:beforeAutospacing="0" w:afterAutospacing="0" w:line="324" w:lineRule="atLeast"/>
      </w:pPr>
      <w:r>
        <w:rPr>
          <w:rFonts w:ascii="Verdana" w:hAnsi="Verdana" w:cs="Verdana"/>
          <w:color w:val="333333"/>
          <w:sz w:val="18"/>
          <w:szCs w:val="18"/>
          <w:shd w:val="clear" w:color="auto" w:fill="FEFCFD"/>
        </w:rPr>
        <w:t> </w:t>
      </w:r>
    </w:p>
    <w:p w14:paraId="5C7693D9">
      <w:pPr>
        <w:pStyle w:val="6"/>
        <w:widowControl/>
        <w:spacing w:beforeAutospacing="0" w:afterAutospacing="0" w:line="324" w:lineRule="atLeast"/>
      </w:pPr>
      <w:r>
        <w:rPr>
          <w:rStyle w:val="10"/>
          <w:rFonts w:ascii="Verdana" w:hAnsi="Verdana" w:cs="Verdana"/>
          <w:color w:val="333333"/>
          <w:sz w:val="21"/>
          <w:szCs w:val="21"/>
          <w:shd w:val="clear" w:color="auto" w:fill="FEFCFD"/>
        </w:rPr>
        <w:t>Transcoding Mode Example</w:t>
      </w:r>
    </w:p>
    <w:p w14:paraId="330820A0">
      <w:pPr>
        <w:pStyle w:val="6"/>
        <w:widowControl/>
        <w:spacing w:beforeAutospacing="0" w:afterAutospacing="0" w:line="324" w:lineRule="atLeast"/>
      </w:pPr>
      <w:r>
        <w:rPr>
          <w:rFonts w:ascii="Verdana" w:hAnsi="Verdana" w:cs="Verdana"/>
          <w:color w:val="333333"/>
          <w:sz w:val="18"/>
          <w:szCs w:val="18"/>
          <w:shd w:val="clear" w:color="auto" w:fill="FEFCFD"/>
        </w:rPr>
        <w:t> </w:t>
      </w:r>
    </w:p>
    <w:p w14:paraId="11EC7DA0">
      <w:pPr>
        <w:pStyle w:val="6"/>
        <w:widowControl/>
        <w:spacing w:beforeAutospacing="0" w:afterAutospacing="0" w:line="324" w:lineRule="atLeast"/>
      </w:pPr>
      <w:r>
        <w:rPr>
          <w:rStyle w:val="10"/>
          <w:rFonts w:ascii="Verdana" w:hAnsi="Verdana" w:cs="Verdana"/>
          <w:color w:val="333333"/>
          <w:sz w:val="21"/>
          <w:szCs w:val="21"/>
          <w:shd w:val="clear" w:color="auto" w:fill="FEFCFD"/>
        </w:rPr>
        <w:t> </w:t>
      </w:r>
    </w:p>
    <w:p w14:paraId="1373088F">
      <w:pPr>
        <w:pStyle w:val="6"/>
        <w:widowControl/>
        <w:spacing w:beforeAutospacing="0" w:afterAutospacing="0" w:line="324" w:lineRule="atLeast"/>
        <w:jc w:val="center"/>
      </w:pPr>
      <w:r>
        <w:rPr>
          <w:rFonts w:ascii="Verdana" w:hAnsi="Verdana" w:cs="Verdana"/>
          <w:color w:val="333333"/>
          <w:sz w:val="21"/>
          <w:szCs w:val="21"/>
          <w:shd w:val="clear" w:color="auto" w:fill="FEFCFD"/>
        </w:rPr>
        <w:drawing>
          <wp:inline distT="0" distB="0" distL="114300" distR="114300">
            <wp:extent cx="3590925" cy="1057275"/>
            <wp:effectExtent l="0" t="0" r="9525" b="9525"/>
            <wp:docPr id="3"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12"/>
                    <a:stretch>
                      <a:fillRect/>
                    </a:stretch>
                  </pic:blipFill>
                  <pic:spPr>
                    <a:xfrm>
                      <a:off x="0" y="0"/>
                      <a:ext cx="3590925" cy="1057275"/>
                    </a:xfrm>
                    <a:prstGeom prst="rect">
                      <a:avLst/>
                    </a:prstGeom>
                    <a:noFill/>
                    <a:ln w="9525">
                      <a:noFill/>
                    </a:ln>
                  </pic:spPr>
                </pic:pic>
              </a:graphicData>
            </a:graphic>
          </wp:inline>
        </w:drawing>
      </w:r>
    </w:p>
    <w:p w14:paraId="13C4A7C6">
      <w:pPr>
        <w:pStyle w:val="6"/>
        <w:widowControl/>
        <w:spacing w:beforeAutospacing="0" w:afterAutospacing="0" w:line="324" w:lineRule="atLeast"/>
      </w:pPr>
      <w:r>
        <w:rPr>
          <w:rFonts w:ascii="Verdana" w:hAnsi="Verdana" w:cs="Verdana"/>
          <w:color w:val="333333"/>
          <w:sz w:val="18"/>
          <w:szCs w:val="18"/>
          <w:shd w:val="clear" w:color="auto" w:fill="FEFCFD"/>
        </w:rPr>
        <w:t> </w:t>
      </w:r>
    </w:p>
    <w:p w14:paraId="52092A70">
      <w:pPr>
        <w:pStyle w:val="6"/>
        <w:widowControl/>
        <w:spacing w:beforeAutospacing="0" w:afterAutospacing="0" w:line="324" w:lineRule="atLeast"/>
      </w:pPr>
      <w:r>
        <w:rPr>
          <w:rFonts w:ascii="Verdana" w:hAnsi="Verdana" w:cs="Verdana"/>
          <w:color w:val="333333"/>
          <w:sz w:val="18"/>
          <w:szCs w:val="18"/>
          <w:shd w:val="clear" w:color="auto" w:fill="FEFCFD"/>
        </w:rPr>
        <w:t> </w:t>
      </w:r>
    </w:p>
    <w:p w14:paraId="216587FF">
      <w:pPr>
        <w:pStyle w:val="6"/>
        <w:widowControl/>
        <w:spacing w:beforeAutospacing="0" w:afterAutospacing="0" w:line="324" w:lineRule="atLeast"/>
      </w:pPr>
      <w:r>
        <w:rPr>
          <w:rStyle w:val="10"/>
          <w:rFonts w:ascii="Verdana" w:hAnsi="Verdana" w:cs="Verdana"/>
          <w:color w:val="333333"/>
          <w:sz w:val="21"/>
          <w:szCs w:val="21"/>
          <w:shd w:val="clear" w:color="auto" w:fill="FEFCFD"/>
        </w:rPr>
        <w:t>Technical 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433"/>
        <w:gridCol w:w="2020"/>
        <w:gridCol w:w="1372"/>
        <w:gridCol w:w="4925"/>
      </w:tblGrid>
      <w:tr w14:paraId="217F1F2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trPr>
        <w:tc>
          <w:tcPr>
            <w:tcW w:w="1420" w:type="dxa"/>
            <w:vMerge w:val="restart"/>
            <w:shd w:val="clear" w:color="auto" w:fill="auto"/>
            <w:vAlign w:val="center"/>
          </w:tcPr>
          <w:p w14:paraId="18C2A058">
            <w:pPr>
              <w:pStyle w:val="6"/>
              <w:widowControl/>
              <w:spacing w:beforeAutospacing="0" w:afterAutospacing="0" w:line="324" w:lineRule="atLeast"/>
            </w:pPr>
            <w:r>
              <w:rPr>
                <w:rStyle w:val="10"/>
              </w:rPr>
              <w:t>Stream In</w:t>
            </w:r>
          </w:p>
        </w:tc>
        <w:tc>
          <w:tcPr>
            <w:tcW w:w="8240" w:type="dxa"/>
            <w:gridSpan w:val="3"/>
            <w:shd w:val="clear" w:color="auto" w:fill="auto"/>
            <w:vAlign w:val="center"/>
          </w:tcPr>
          <w:p w14:paraId="0BBD21D1">
            <w:pPr>
              <w:pStyle w:val="6"/>
              <w:widowControl/>
              <w:spacing w:beforeAutospacing="0" w:afterAutospacing="0" w:line="324" w:lineRule="atLeast"/>
            </w:pPr>
            <w:r>
              <w:t>MPTS/SPTS over UDP/RTP, 1000M Base-T Ethernet Interface/SFP interface</w:t>
            </w:r>
          </w:p>
        </w:tc>
      </w:tr>
      <w:tr w14:paraId="307EF5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420" w:type="dxa"/>
            <w:vMerge w:val="continue"/>
            <w:shd w:val="clear" w:color="auto" w:fill="auto"/>
            <w:vAlign w:val="center"/>
          </w:tcPr>
          <w:p w14:paraId="0C79C3F4">
            <w:pPr>
              <w:jc w:val="left"/>
              <w:rPr>
                <w:rFonts w:ascii="宋体"/>
                <w:sz w:val="24"/>
                <w:szCs w:val="24"/>
              </w:rPr>
            </w:pPr>
          </w:p>
        </w:tc>
        <w:tc>
          <w:tcPr>
            <w:tcW w:w="8240" w:type="dxa"/>
            <w:gridSpan w:val="3"/>
            <w:shd w:val="clear" w:color="auto" w:fill="auto"/>
            <w:vAlign w:val="center"/>
          </w:tcPr>
          <w:p w14:paraId="23B5050F">
            <w:pPr>
              <w:pStyle w:val="6"/>
              <w:widowControl/>
              <w:spacing w:beforeAutospacing="0" w:afterAutospacing="0" w:line="324" w:lineRule="atLeast"/>
            </w:pPr>
            <w:r>
              <w:t>4 * (DVB-S/S2/C/T/ISDB-T/ATSC Optional) Tuners</w:t>
            </w:r>
          </w:p>
        </w:tc>
      </w:tr>
      <w:tr w14:paraId="48740C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420" w:type="dxa"/>
            <w:shd w:val="clear" w:color="auto" w:fill="auto"/>
            <w:vAlign w:val="center"/>
          </w:tcPr>
          <w:p w14:paraId="4EDD9643">
            <w:pPr>
              <w:pStyle w:val="6"/>
              <w:widowControl/>
              <w:spacing w:beforeAutospacing="0" w:afterAutospacing="0" w:line="324" w:lineRule="atLeast"/>
            </w:pPr>
            <w:r>
              <w:rPr>
                <w:rStyle w:val="10"/>
              </w:rPr>
              <w:t>BISS Descramble</w:t>
            </w:r>
          </w:p>
        </w:tc>
        <w:tc>
          <w:tcPr>
            <w:tcW w:w="8240" w:type="dxa"/>
            <w:gridSpan w:val="3"/>
            <w:shd w:val="clear" w:color="auto" w:fill="auto"/>
            <w:vAlign w:val="center"/>
          </w:tcPr>
          <w:p w14:paraId="0DFAEFAE">
            <w:pPr>
              <w:pStyle w:val="6"/>
              <w:widowControl/>
              <w:spacing w:beforeAutospacing="0" w:afterAutospacing="0" w:line="324" w:lineRule="atLeast"/>
            </w:pPr>
            <w:r>
              <w:t>8 programs</w:t>
            </w:r>
            <w:r>
              <w:rPr>
                <w:rStyle w:val="10"/>
              </w:rPr>
              <w:t> </w:t>
            </w:r>
          </w:p>
        </w:tc>
      </w:tr>
      <w:tr w14:paraId="1BD3EBE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restart"/>
            <w:shd w:val="clear" w:color="auto" w:fill="auto"/>
            <w:vAlign w:val="center"/>
          </w:tcPr>
          <w:p w14:paraId="1F5002A0">
            <w:pPr>
              <w:pStyle w:val="6"/>
              <w:widowControl/>
              <w:spacing w:beforeAutospacing="0" w:afterAutospacing="0" w:line="324" w:lineRule="atLeast"/>
            </w:pPr>
            <w:r>
              <w:rPr>
                <w:rStyle w:val="10"/>
              </w:rPr>
              <w:t>Video </w:t>
            </w:r>
          </w:p>
        </w:tc>
        <w:tc>
          <w:tcPr>
            <w:tcW w:w="2001" w:type="dxa"/>
            <w:shd w:val="clear" w:color="auto" w:fill="auto"/>
            <w:vAlign w:val="center"/>
          </w:tcPr>
          <w:p w14:paraId="72C423C1">
            <w:pPr>
              <w:pStyle w:val="6"/>
              <w:widowControl/>
              <w:spacing w:beforeAutospacing="0" w:afterAutospacing="0" w:line="324" w:lineRule="atLeast"/>
            </w:pPr>
            <w:r>
              <w:t>Resolution</w:t>
            </w:r>
          </w:p>
        </w:tc>
        <w:tc>
          <w:tcPr>
            <w:tcW w:w="6209" w:type="dxa"/>
            <w:gridSpan w:val="2"/>
            <w:shd w:val="clear" w:color="auto" w:fill="auto"/>
            <w:vAlign w:val="center"/>
          </w:tcPr>
          <w:p w14:paraId="6C457169">
            <w:pPr>
              <w:pStyle w:val="6"/>
              <w:widowControl/>
              <w:spacing w:beforeAutospacing="0" w:afterAutospacing="0" w:line="324" w:lineRule="atLeast"/>
            </w:pPr>
            <w:r>
              <w:t>1920x1080P,1920x1080i,1280x720P, 720x576i, 720x480i</w:t>
            </w:r>
          </w:p>
          <w:p w14:paraId="4404C12B">
            <w:pPr>
              <w:pStyle w:val="6"/>
              <w:widowControl/>
              <w:spacing w:beforeAutospacing="0" w:afterAutospacing="0" w:line="324" w:lineRule="atLeast"/>
            </w:pPr>
            <w:r>
              <w:t>480x576, 544x576, 640x576, 704x576</w:t>
            </w:r>
          </w:p>
        </w:tc>
      </w:tr>
      <w:tr w14:paraId="0618FC3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20" w:hRule="atLeast"/>
          <w:tblCellSpacing w:w="0" w:type="dxa"/>
        </w:trPr>
        <w:tc>
          <w:tcPr>
            <w:tcW w:w="1420" w:type="dxa"/>
            <w:vMerge w:val="continue"/>
            <w:shd w:val="clear" w:color="auto" w:fill="auto"/>
            <w:vAlign w:val="center"/>
          </w:tcPr>
          <w:p w14:paraId="6D2ABD5A">
            <w:pPr>
              <w:jc w:val="left"/>
              <w:rPr>
                <w:rFonts w:ascii="宋体"/>
                <w:sz w:val="24"/>
                <w:szCs w:val="24"/>
              </w:rPr>
            </w:pPr>
          </w:p>
        </w:tc>
        <w:tc>
          <w:tcPr>
            <w:tcW w:w="2001" w:type="dxa"/>
            <w:vMerge w:val="restart"/>
            <w:shd w:val="clear" w:color="auto" w:fill="auto"/>
            <w:vAlign w:val="center"/>
          </w:tcPr>
          <w:p w14:paraId="37E5A9FE">
            <w:pPr>
              <w:pStyle w:val="6"/>
              <w:widowControl/>
              <w:spacing w:beforeAutospacing="0" w:afterAutospacing="0" w:line="324" w:lineRule="atLeast"/>
            </w:pPr>
            <w:r>
              <w:t>Trans-coding</w:t>
            </w:r>
          </w:p>
        </w:tc>
        <w:tc>
          <w:tcPr>
            <w:tcW w:w="6209" w:type="dxa"/>
            <w:gridSpan w:val="2"/>
            <w:shd w:val="clear" w:color="auto" w:fill="auto"/>
            <w:vAlign w:val="center"/>
          </w:tcPr>
          <w:p w14:paraId="5BBDDD08">
            <w:pPr>
              <w:pStyle w:val="6"/>
              <w:widowControl/>
              <w:spacing w:beforeAutospacing="0" w:afterAutospacing="0" w:line="324" w:lineRule="atLeast"/>
            </w:pPr>
            <w:r>
              <w:t>4*MPEG2 HD → 4*MPEG2/H.264 HD ;</w:t>
            </w:r>
          </w:p>
          <w:p w14:paraId="5469BCC1">
            <w:pPr>
              <w:pStyle w:val="6"/>
              <w:widowControl/>
              <w:spacing w:beforeAutospacing="0" w:afterAutospacing="0" w:line="324" w:lineRule="atLeast"/>
            </w:pPr>
            <w:r>
              <w:t>4*MPEG2 HD → 4*MPEG2/H.264 SD ;</w:t>
            </w:r>
          </w:p>
          <w:p w14:paraId="2588723F">
            <w:pPr>
              <w:pStyle w:val="6"/>
              <w:widowControl/>
              <w:spacing w:beforeAutospacing="0" w:afterAutospacing="0" w:line="324" w:lineRule="atLeast"/>
            </w:pPr>
            <w:r>
              <w:t>8 *MPEG2 SD → 8 *MPEG2/H.264 SD</w:t>
            </w:r>
          </w:p>
        </w:tc>
      </w:tr>
      <w:tr w14:paraId="0FB41A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1420" w:type="dxa"/>
            <w:vMerge w:val="continue"/>
            <w:shd w:val="clear" w:color="auto" w:fill="auto"/>
            <w:vAlign w:val="center"/>
          </w:tcPr>
          <w:p w14:paraId="7B578823">
            <w:pPr>
              <w:jc w:val="left"/>
              <w:rPr>
                <w:rFonts w:ascii="宋体"/>
                <w:sz w:val="24"/>
                <w:szCs w:val="24"/>
              </w:rPr>
            </w:pPr>
          </w:p>
        </w:tc>
        <w:tc>
          <w:tcPr>
            <w:tcW w:w="2001" w:type="dxa"/>
            <w:vMerge w:val="continue"/>
            <w:shd w:val="clear" w:color="auto" w:fill="auto"/>
            <w:vAlign w:val="center"/>
          </w:tcPr>
          <w:p w14:paraId="4F3E0C4A">
            <w:pPr>
              <w:jc w:val="left"/>
              <w:rPr>
                <w:rFonts w:ascii="宋体"/>
                <w:sz w:val="24"/>
                <w:szCs w:val="24"/>
              </w:rPr>
            </w:pPr>
          </w:p>
        </w:tc>
        <w:tc>
          <w:tcPr>
            <w:tcW w:w="6209" w:type="dxa"/>
            <w:gridSpan w:val="2"/>
            <w:shd w:val="clear" w:color="auto" w:fill="auto"/>
            <w:vAlign w:val="center"/>
          </w:tcPr>
          <w:p w14:paraId="145E4B2E">
            <w:pPr>
              <w:pStyle w:val="6"/>
              <w:widowControl/>
              <w:spacing w:beforeAutospacing="0" w:afterAutospacing="0" w:line="324" w:lineRule="atLeast"/>
            </w:pPr>
            <w:r>
              <w:t>4* H.264 HD → 4*MPEG2/H.264 HD ;</w:t>
            </w:r>
          </w:p>
          <w:p w14:paraId="0D310E6C">
            <w:pPr>
              <w:pStyle w:val="6"/>
              <w:widowControl/>
              <w:spacing w:beforeAutospacing="0" w:afterAutospacing="0" w:line="324" w:lineRule="atLeast"/>
            </w:pPr>
            <w:r>
              <w:t>4* H.264 HD → 4*MPEG2/H.264 SD ;</w:t>
            </w:r>
          </w:p>
          <w:p w14:paraId="49303640">
            <w:pPr>
              <w:pStyle w:val="6"/>
              <w:widowControl/>
              <w:spacing w:beforeAutospacing="0" w:afterAutospacing="0" w:line="324" w:lineRule="atLeast"/>
            </w:pPr>
            <w:r>
              <w:t>8* H.264 SD → 8 *MPEG2/H.264 SD</w:t>
            </w:r>
          </w:p>
        </w:tc>
      </w:tr>
      <w:tr w14:paraId="090F58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continue"/>
            <w:shd w:val="clear" w:color="auto" w:fill="auto"/>
            <w:vAlign w:val="center"/>
          </w:tcPr>
          <w:p w14:paraId="34BEF5AA">
            <w:pPr>
              <w:jc w:val="left"/>
              <w:rPr>
                <w:rFonts w:ascii="宋体"/>
                <w:sz w:val="24"/>
                <w:szCs w:val="24"/>
              </w:rPr>
            </w:pPr>
          </w:p>
        </w:tc>
        <w:tc>
          <w:tcPr>
            <w:tcW w:w="2001" w:type="dxa"/>
            <w:shd w:val="clear" w:color="auto" w:fill="auto"/>
            <w:vAlign w:val="center"/>
          </w:tcPr>
          <w:p w14:paraId="699E940C">
            <w:pPr>
              <w:pStyle w:val="6"/>
              <w:widowControl/>
              <w:spacing w:beforeAutospacing="0" w:afterAutospacing="0" w:line="324" w:lineRule="atLeast"/>
            </w:pPr>
            <w:r>
              <w:t>Rate Control</w:t>
            </w:r>
          </w:p>
        </w:tc>
        <w:tc>
          <w:tcPr>
            <w:tcW w:w="6209" w:type="dxa"/>
            <w:gridSpan w:val="2"/>
            <w:shd w:val="clear" w:color="auto" w:fill="auto"/>
            <w:vAlign w:val="center"/>
          </w:tcPr>
          <w:p w14:paraId="5539AF25">
            <w:pPr>
              <w:pStyle w:val="6"/>
              <w:widowControl/>
              <w:spacing w:beforeAutospacing="0" w:afterAutospacing="0" w:line="324" w:lineRule="atLeast"/>
            </w:pPr>
            <w:r>
              <w:t>CBR/VBR  </w:t>
            </w:r>
          </w:p>
        </w:tc>
      </w:tr>
      <w:tr w14:paraId="5465D7D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restart"/>
            <w:shd w:val="clear" w:color="auto" w:fill="auto"/>
            <w:vAlign w:val="center"/>
          </w:tcPr>
          <w:p w14:paraId="066EA6AB">
            <w:pPr>
              <w:pStyle w:val="6"/>
              <w:widowControl/>
              <w:spacing w:beforeAutospacing="0" w:afterAutospacing="0" w:line="324" w:lineRule="atLeast"/>
            </w:pPr>
            <w:r>
              <w:rPr>
                <w:rStyle w:val="10"/>
              </w:rPr>
              <w:t>Audio </w:t>
            </w:r>
          </w:p>
        </w:tc>
        <w:tc>
          <w:tcPr>
            <w:tcW w:w="2001" w:type="dxa"/>
            <w:shd w:val="clear" w:color="auto" w:fill="auto"/>
            <w:vAlign w:val="center"/>
          </w:tcPr>
          <w:p w14:paraId="09EB78AB">
            <w:pPr>
              <w:pStyle w:val="6"/>
              <w:widowControl/>
              <w:spacing w:beforeAutospacing="0" w:afterAutospacing="0" w:line="324" w:lineRule="atLeast"/>
            </w:pPr>
            <w:r>
              <w:t>Trans-coding</w:t>
            </w:r>
          </w:p>
        </w:tc>
        <w:tc>
          <w:tcPr>
            <w:tcW w:w="6209" w:type="dxa"/>
            <w:gridSpan w:val="2"/>
            <w:shd w:val="clear" w:color="auto" w:fill="auto"/>
            <w:vAlign w:val="center"/>
          </w:tcPr>
          <w:p w14:paraId="73AC75F9">
            <w:pPr>
              <w:pStyle w:val="6"/>
              <w:widowControl/>
              <w:spacing w:beforeAutospacing="0" w:afterAutospacing="0" w:line="324" w:lineRule="atLeast"/>
            </w:pPr>
            <w:r>
              <w:t>MPEG-1 Layer 2, LC-AAC and AC3 any-to-any or pass through</w:t>
            </w:r>
          </w:p>
        </w:tc>
      </w:tr>
      <w:tr w14:paraId="1FC855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continue"/>
            <w:shd w:val="clear" w:color="auto" w:fill="auto"/>
            <w:vAlign w:val="center"/>
          </w:tcPr>
          <w:p w14:paraId="7D0BA703">
            <w:pPr>
              <w:jc w:val="left"/>
              <w:rPr>
                <w:rFonts w:ascii="宋体"/>
                <w:sz w:val="24"/>
                <w:szCs w:val="24"/>
              </w:rPr>
            </w:pPr>
          </w:p>
        </w:tc>
        <w:tc>
          <w:tcPr>
            <w:tcW w:w="2001" w:type="dxa"/>
            <w:shd w:val="clear" w:color="auto" w:fill="auto"/>
            <w:vAlign w:val="center"/>
          </w:tcPr>
          <w:p w14:paraId="6C92A1B3">
            <w:pPr>
              <w:pStyle w:val="6"/>
              <w:widowControl/>
              <w:spacing w:beforeAutospacing="0" w:afterAutospacing="0" w:line="324" w:lineRule="atLeast"/>
            </w:pPr>
            <w:r>
              <w:t>Sampling rate</w:t>
            </w:r>
          </w:p>
        </w:tc>
        <w:tc>
          <w:tcPr>
            <w:tcW w:w="6209" w:type="dxa"/>
            <w:gridSpan w:val="2"/>
            <w:shd w:val="clear" w:color="auto" w:fill="auto"/>
            <w:vAlign w:val="center"/>
          </w:tcPr>
          <w:p w14:paraId="0AE74829">
            <w:pPr>
              <w:pStyle w:val="6"/>
              <w:widowControl/>
              <w:spacing w:beforeAutospacing="0" w:afterAutospacing="0" w:line="324" w:lineRule="atLeast"/>
            </w:pPr>
            <w:r>
              <w:t>48KHz  </w:t>
            </w:r>
          </w:p>
        </w:tc>
      </w:tr>
      <w:tr w14:paraId="4353E19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continue"/>
            <w:shd w:val="clear" w:color="auto" w:fill="auto"/>
            <w:vAlign w:val="center"/>
          </w:tcPr>
          <w:p w14:paraId="47CAD78C">
            <w:pPr>
              <w:jc w:val="left"/>
              <w:rPr>
                <w:rFonts w:ascii="宋体"/>
                <w:sz w:val="24"/>
                <w:szCs w:val="24"/>
              </w:rPr>
            </w:pPr>
          </w:p>
        </w:tc>
        <w:tc>
          <w:tcPr>
            <w:tcW w:w="2001" w:type="dxa"/>
            <w:shd w:val="clear" w:color="auto" w:fill="auto"/>
            <w:vAlign w:val="center"/>
          </w:tcPr>
          <w:p w14:paraId="2A04AC8E">
            <w:pPr>
              <w:pStyle w:val="6"/>
              <w:widowControl/>
              <w:spacing w:beforeAutospacing="0" w:afterAutospacing="0" w:line="324" w:lineRule="atLeast"/>
            </w:pPr>
            <w:r>
              <w:t>Bit Rate</w:t>
            </w:r>
          </w:p>
        </w:tc>
        <w:tc>
          <w:tcPr>
            <w:tcW w:w="6209" w:type="dxa"/>
            <w:gridSpan w:val="2"/>
            <w:shd w:val="clear" w:color="auto" w:fill="auto"/>
            <w:vAlign w:val="center"/>
          </w:tcPr>
          <w:p w14:paraId="3BCC5C79">
            <w:pPr>
              <w:pStyle w:val="6"/>
              <w:widowControl/>
              <w:spacing w:beforeAutospacing="0" w:afterAutospacing="0" w:line="324" w:lineRule="atLeast"/>
            </w:pPr>
            <w:r>
              <w:t>64Kbps-384Kbps  </w:t>
            </w:r>
          </w:p>
        </w:tc>
      </w:tr>
      <w:tr w14:paraId="5A0BC5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60" w:hRule="atLeast"/>
          <w:tblCellSpacing w:w="0" w:type="dxa"/>
        </w:trPr>
        <w:tc>
          <w:tcPr>
            <w:tcW w:w="1420" w:type="dxa"/>
            <w:vMerge w:val="restart"/>
            <w:shd w:val="clear" w:color="auto" w:fill="auto"/>
            <w:vAlign w:val="center"/>
          </w:tcPr>
          <w:p w14:paraId="03363070">
            <w:pPr>
              <w:pStyle w:val="6"/>
              <w:widowControl/>
              <w:spacing w:beforeAutospacing="0" w:afterAutospacing="0" w:line="324" w:lineRule="atLeast"/>
            </w:pPr>
            <w:r>
              <w:rPr>
                <w:rStyle w:val="10"/>
              </w:rPr>
              <w:t>Stream Out</w:t>
            </w:r>
          </w:p>
        </w:tc>
        <w:tc>
          <w:tcPr>
            <w:tcW w:w="8240" w:type="dxa"/>
            <w:gridSpan w:val="3"/>
            <w:shd w:val="clear" w:color="auto" w:fill="auto"/>
            <w:vAlign w:val="center"/>
          </w:tcPr>
          <w:p w14:paraId="3A99054C">
            <w:pPr>
              <w:pStyle w:val="6"/>
              <w:widowControl/>
              <w:spacing w:beforeAutospacing="0" w:afterAutospacing="0" w:line="324" w:lineRule="atLeast"/>
            </w:pPr>
            <w:r>
              <w:t>8*SPTS &amp; 1*MPTS over UDP/RTP/RTSP, 1000M Base-T Ethernet Interface (UDP/RTP uni-cast / multicast)  /SFP interface</w:t>
            </w:r>
          </w:p>
        </w:tc>
      </w:tr>
      <w:tr w14:paraId="0B978E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420" w:type="dxa"/>
            <w:vMerge w:val="continue"/>
            <w:shd w:val="clear" w:color="auto" w:fill="auto"/>
            <w:vAlign w:val="center"/>
          </w:tcPr>
          <w:p w14:paraId="6AB3D5CE">
            <w:pPr>
              <w:jc w:val="left"/>
              <w:rPr>
                <w:rFonts w:ascii="宋体"/>
                <w:sz w:val="24"/>
                <w:szCs w:val="24"/>
              </w:rPr>
            </w:pPr>
          </w:p>
        </w:tc>
        <w:tc>
          <w:tcPr>
            <w:tcW w:w="8240" w:type="dxa"/>
            <w:gridSpan w:val="3"/>
            <w:shd w:val="clear" w:color="auto" w:fill="auto"/>
            <w:vAlign w:val="center"/>
          </w:tcPr>
          <w:p w14:paraId="65C02A02">
            <w:pPr>
              <w:pStyle w:val="6"/>
              <w:widowControl/>
              <w:spacing w:beforeAutospacing="0" w:afterAutospacing="0" w:line="324" w:lineRule="atLeast"/>
            </w:pPr>
            <w:r>
              <w:t>1*ASI (as a copy of one of the 8 SPTS or the MPTS) output, BNC interface</w:t>
            </w:r>
          </w:p>
        </w:tc>
      </w:tr>
      <w:tr w14:paraId="37651E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restart"/>
            <w:shd w:val="clear" w:color="auto" w:fill="auto"/>
            <w:vAlign w:val="center"/>
          </w:tcPr>
          <w:p w14:paraId="197BE283">
            <w:pPr>
              <w:pStyle w:val="6"/>
              <w:widowControl/>
              <w:spacing w:beforeAutospacing="0" w:afterAutospacing="0" w:line="324" w:lineRule="atLeast"/>
            </w:pPr>
            <w:r>
              <w:rPr>
                <w:rStyle w:val="10"/>
              </w:rPr>
              <w:t>System Function </w:t>
            </w:r>
          </w:p>
        </w:tc>
        <w:tc>
          <w:tcPr>
            <w:tcW w:w="8240" w:type="dxa"/>
            <w:gridSpan w:val="3"/>
            <w:shd w:val="clear" w:color="auto" w:fill="auto"/>
            <w:vAlign w:val="center"/>
          </w:tcPr>
          <w:p w14:paraId="69E8FA31">
            <w:pPr>
              <w:pStyle w:val="6"/>
              <w:widowControl/>
              <w:spacing w:beforeAutospacing="0" w:afterAutospacing="0" w:line="324" w:lineRule="atLeast"/>
            </w:pPr>
            <w:r>
              <w:t>LCD &amp; Key board control; web-based NMS management</w:t>
            </w:r>
          </w:p>
        </w:tc>
      </w:tr>
      <w:tr w14:paraId="28D601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continue"/>
            <w:shd w:val="clear" w:color="auto" w:fill="auto"/>
            <w:vAlign w:val="center"/>
          </w:tcPr>
          <w:p w14:paraId="4E677897">
            <w:pPr>
              <w:jc w:val="left"/>
              <w:rPr>
                <w:rFonts w:ascii="宋体"/>
                <w:sz w:val="24"/>
                <w:szCs w:val="24"/>
              </w:rPr>
            </w:pPr>
          </w:p>
        </w:tc>
        <w:tc>
          <w:tcPr>
            <w:tcW w:w="8240" w:type="dxa"/>
            <w:gridSpan w:val="3"/>
            <w:shd w:val="clear" w:color="auto" w:fill="auto"/>
            <w:vAlign w:val="center"/>
          </w:tcPr>
          <w:p w14:paraId="2365732B">
            <w:pPr>
              <w:pStyle w:val="6"/>
              <w:widowControl/>
              <w:spacing w:beforeAutospacing="0" w:afterAutospacing="0" w:line="324" w:lineRule="atLeast"/>
            </w:pPr>
            <w:r>
              <w:t>Ethernet software upgrade </w:t>
            </w:r>
          </w:p>
        </w:tc>
      </w:tr>
      <w:tr w14:paraId="53C57B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restart"/>
            <w:shd w:val="clear" w:color="auto" w:fill="auto"/>
            <w:vAlign w:val="center"/>
          </w:tcPr>
          <w:p w14:paraId="22300DAE">
            <w:pPr>
              <w:pStyle w:val="6"/>
              <w:widowControl/>
              <w:spacing w:beforeAutospacing="0" w:afterAutospacing="0" w:line="324" w:lineRule="atLeast"/>
            </w:pPr>
            <w:r>
              <w:rPr>
                <w:rStyle w:val="10"/>
              </w:rPr>
              <w:t>General </w:t>
            </w:r>
          </w:p>
        </w:tc>
        <w:tc>
          <w:tcPr>
            <w:tcW w:w="3360" w:type="dxa"/>
            <w:gridSpan w:val="2"/>
            <w:shd w:val="clear" w:color="auto" w:fill="auto"/>
            <w:vAlign w:val="center"/>
          </w:tcPr>
          <w:p w14:paraId="5B655724">
            <w:pPr>
              <w:pStyle w:val="6"/>
              <w:widowControl/>
              <w:spacing w:beforeAutospacing="0" w:afterAutospacing="0" w:line="324" w:lineRule="atLeast"/>
            </w:pPr>
            <w:r>
              <w:t>Dimensions</w:t>
            </w:r>
          </w:p>
        </w:tc>
        <w:tc>
          <w:tcPr>
            <w:tcW w:w="4850" w:type="dxa"/>
            <w:shd w:val="clear" w:color="auto" w:fill="auto"/>
            <w:vAlign w:val="center"/>
          </w:tcPr>
          <w:p w14:paraId="6643EDBD">
            <w:pPr>
              <w:pStyle w:val="6"/>
              <w:widowControl/>
              <w:spacing w:beforeAutospacing="0" w:afterAutospacing="0" w:line="324" w:lineRule="atLeast"/>
            </w:pPr>
            <w:r>
              <w:t>430mm×405mm×45mm (WxDxH)  </w:t>
            </w:r>
          </w:p>
        </w:tc>
      </w:tr>
      <w:tr w14:paraId="7019443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continue"/>
            <w:shd w:val="clear" w:color="auto" w:fill="auto"/>
            <w:vAlign w:val="center"/>
          </w:tcPr>
          <w:p w14:paraId="211F3295">
            <w:pPr>
              <w:jc w:val="left"/>
              <w:rPr>
                <w:rFonts w:ascii="宋体"/>
                <w:sz w:val="24"/>
                <w:szCs w:val="24"/>
              </w:rPr>
            </w:pPr>
          </w:p>
        </w:tc>
        <w:tc>
          <w:tcPr>
            <w:tcW w:w="3360" w:type="dxa"/>
            <w:gridSpan w:val="2"/>
            <w:shd w:val="clear" w:color="auto" w:fill="auto"/>
            <w:vAlign w:val="center"/>
          </w:tcPr>
          <w:p w14:paraId="7C132D7F">
            <w:pPr>
              <w:pStyle w:val="6"/>
              <w:widowControl/>
              <w:spacing w:beforeAutospacing="0" w:afterAutospacing="0" w:line="324" w:lineRule="atLeast"/>
            </w:pPr>
            <w:r>
              <w:t>Approx weight</w:t>
            </w:r>
          </w:p>
        </w:tc>
        <w:tc>
          <w:tcPr>
            <w:tcW w:w="4850" w:type="dxa"/>
            <w:shd w:val="clear" w:color="auto" w:fill="auto"/>
            <w:vAlign w:val="center"/>
          </w:tcPr>
          <w:p w14:paraId="3D8A3D2D">
            <w:pPr>
              <w:pStyle w:val="6"/>
              <w:widowControl/>
              <w:spacing w:beforeAutospacing="0" w:afterAutospacing="0" w:line="324" w:lineRule="atLeast"/>
            </w:pPr>
            <w:r>
              <w:t>4.8 Kg  </w:t>
            </w:r>
          </w:p>
        </w:tc>
      </w:tr>
      <w:tr w14:paraId="167EB6D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continue"/>
            <w:shd w:val="clear" w:color="auto" w:fill="auto"/>
            <w:vAlign w:val="center"/>
          </w:tcPr>
          <w:p w14:paraId="50A29587">
            <w:pPr>
              <w:jc w:val="left"/>
              <w:rPr>
                <w:rFonts w:ascii="宋体"/>
                <w:sz w:val="24"/>
                <w:szCs w:val="24"/>
              </w:rPr>
            </w:pPr>
          </w:p>
        </w:tc>
        <w:tc>
          <w:tcPr>
            <w:tcW w:w="3360" w:type="dxa"/>
            <w:gridSpan w:val="2"/>
            <w:shd w:val="clear" w:color="auto" w:fill="auto"/>
            <w:vAlign w:val="center"/>
          </w:tcPr>
          <w:p w14:paraId="63A33C2C">
            <w:pPr>
              <w:pStyle w:val="6"/>
              <w:widowControl/>
              <w:spacing w:beforeAutospacing="0" w:afterAutospacing="0" w:line="324" w:lineRule="atLeast"/>
            </w:pPr>
            <w:r>
              <w:t>Temperature range </w:t>
            </w:r>
          </w:p>
        </w:tc>
        <w:tc>
          <w:tcPr>
            <w:tcW w:w="4850" w:type="dxa"/>
            <w:shd w:val="clear" w:color="auto" w:fill="auto"/>
            <w:vAlign w:val="center"/>
          </w:tcPr>
          <w:p w14:paraId="6C1E5AC4">
            <w:pPr>
              <w:pStyle w:val="6"/>
              <w:widowControl/>
              <w:spacing w:beforeAutospacing="0" w:afterAutospacing="0" w:line="324" w:lineRule="atLeast"/>
            </w:pPr>
            <w:r>
              <w:t> 0~45℃(Operation), -20~80℃(Storage) </w:t>
            </w:r>
          </w:p>
        </w:tc>
      </w:tr>
      <w:tr w14:paraId="5782F5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continue"/>
            <w:shd w:val="clear" w:color="auto" w:fill="auto"/>
            <w:vAlign w:val="center"/>
          </w:tcPr>
          <w:p w14:paraId="5BF1705B">
            <w:pPr>
              <w:jc w:val="left"/>
              <w:rPr>
                <w:rFonts w:ascii="宋体"/>
                <w:sz w:val="24"/>
                <w:szCs w:val="24"/>
              </w:rPr>
            </w:pPr>
          </w:p>
        </w:tc>
        <w:tc>
          <w:tcPr>
            <w:tcW w:w="3360" w:type="dxa"/>
            <w:gridSpan w:val="2"/>
            <w:shd w:val="clear" w:color="auto" w:fill="auto"/>
            <w:vAlign w:val="center"/>
          </w:tcPr>
          <w:p w14:paraId="4E40E698">
            <w:pPr>
              <w:pStyle w:val="6"/>
              <w:widowControl/>
              <w:spacing w:beforeAutospacing="0" w:afterAutospacing="0" w:line="324" w:lineRule="atLeast"/>
            </w:pPr>
            <w:r>
              <w:t>Power requirements  </w:t>
            </w:r>
          </w:p>
        </w:tc>
        <w:tc>
          <w:tcPr>
            <w:tcW w:w="4850" w:type="dxa"/>
            <w:shd w:val="clear" w:color="auto" w:fill="auto"/>
            <w:vAlign w:val="center"/>
          </w:tcPr>
          <w:p w14:paraId="4E5C16E4">
            <w:pPr>
              <w:pStyle w:val="6"/>
              <w:widowControl/>
              <w:spacing w:beforeAutospacing="0" w:afterAutospacing="0" w:line="324" w:lineRule="atLeast"/>
            </w:pPr>
            <w:r>
              <w:t>AC 200V-240V, 50/60Hz, 2A</w:t>
            </w:r>
          </w:p>
        </w:tc>
      </w:tr>
      <w:tr w14:paraId="1F20D68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continue"/>
            <w:shd w:val="clear" w:color="auto" w:fill="auto"/>
            <w:vAlign w:val="center"/>
          </w:tcPr>
          <w:p w14:paraId="4EA99E60">
            <w:pPr>
              <w:jc w:val="left"/>
              <w:rPr>
                <w:rFonts w:ascii="宋体"/>
                <w:sz w:val="24"/>
                <w:szCs w:val="24"/>
              </w:rPr>
            </w:pPr>
          </w:p>
        </w:tc>
        <w:tc>
          <w:tcPr>
            <w:tcW w:w="3360" w:type="dxa"/>
            <w:gridSpan w:val="2"/>
            <w:shd w:val="clear" w:color="auto" w:fill="auto"/>
            <w:vAlign w:val="center"/>
          </w:tcPr>
          <w:p w14:paraId="1F15EF85">
            <w:pPr>
              <w:pStyle w:val="6"/>
              <w:widowControl/>
              <w:spacing w:beforeAutospacing="0" w:afterAutospacing="0" w:line="324" w:lineRule="atLeast"/>
            </w:pPr>
            <w:r>
              <w:t>Power consumption  </w:t>
            </w:r>
          </w:p>
        </w:tc>
        <w:tc>
          <w:tcPr>
            <w:tcW w:w="4850" w:type="dxa"/>
            <w:shd w:val="clear" w:color="auto" w:fill="auto"/>
            <w:vAlign w:val="center"/>
          </w:tcPr>
          <w:p w14:paraId="4A8B9010">
            <w:pPr>
              <w:pStyle w:val="6"/>
              <w:widowControl/>
              <w:spacing w:beforeAutospacing="0" w:afterAutospacing="0" w:line="324" w:lineRule="atLeast"/>
            </w:pPr>
            <w:r>
              <w:t>20W</w:t>
            </w:r>
          </w:p>
        </w:tc>
      </w:tr>
    </w:tbl>
    <w:p w14:paraId="43BB3F96">
      <w:pPr>
        <w:pStyle w:val="6"/>
        <w:widowControl/>
        <w:spacing w:beforeAutospacing="0" w:afterAutospacing="0" w:line="324" w:lineRule="atLeast"/>
      </w:pPr>
      <w:r>
        <w:rPr>
          <w:rFonts w:ascii="Verdana" w:hAnsi="Verdana" w:cs="Verdana"/>
          <w:color w:val="333333"/>
          <w:sz w:val="18"/>
          <w:szCs w:val="18"/>
          <w:shd w:val="clear" w:color="auto" w:fill="FEFCFD"/>
        </w:rPr>
        <w:t> </w:t>
      </w:r>
    </w:p>
    <w:p w14:paraId="65C46B26">
      <w:pPr>
        <w:pStyle w:val="6"/>
        <w:widowControl/>
        <w:spacing w:beforeAutospacing="0" w:afterAutospacing="0" w:line="324" w:lineRule="atLeast"/>
      </w:pPr>
      <w:r>
        <w:rPr>
          <w:rStyle w:val="10"/>
          <w:rFonts w:ascii="Verdana" w:hAnsi="Verdana" w:cs="Verdana"/>
          <w:color w:val="333333"/>
          <w:sz w:val="21"/>
          <w:szCs w:val="21"/>
          <w:shd w:val="clear" w:color="auto" w:fill="FEFCFD"/>
        </w:rPr>
        <w:t>Order Information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071"/>
        <w:gridCol w:w="1607"/>
        <w:gridCol w:w="1524"/>
        <w:gridCol w:w="1135"/>
        <w:gridCol w:w="2190"/>
        <w:gridCol w:w="1223"/>
      </w:tblGrid>
      <w:tr w14:paraId="5F96FA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2835" w:type="dxa"/>
            <w:shd w:val="clear" w:color="auto" w:fill="auto"/>
            <w:vAlign w:val="center"/>
          </w:tcPr>
          <w:p w14:paraId="5143C92B">
            <w:pPr>
              <w:pStyle w:val="6"/>
              <w:widowControl/>
              <w:spacing w:beforeAutospacing="0" w:afterAutospacing="0" w:line="324" w:lineRule="atLeast"/>
            </w:pPr>
            <w:r>
              <w:t>Version</w:t>
            </w:r>
          </w:p>
        </w:tc>
        <w:tc>
          <w:tcPr>
            <w:tcW w:w="2415" w:type="dxa"/>
            <w:shd w:val="clear" w:color="auto" w:fill="auto"/>
            <w:vAlign w:val="center"/>
          </w:tcPr>
          <w:p w14:paraId="4BCDF9D1">
            <w:pPr>
              <w:pStyle w:val="6"/>
              <w:widowControl/>
              <w:spacing w:beforeAutospacing="0" w:afterAutospacing="0" w:line="324" w:lineRule="atLeast"/>
              <w:jc w:val="center"/>
            </w:pPr>
            <w:r>
              <w:rPr>
                <w:rStyle w:val="10"/>
              </w:rPr>
              <w:t>4* ASI or Tuner Input</w:t>
            </w:r>
          </w:p>
        </w:tc>
        <w:tc>
          <w:tcPr>
            <w:tcW w:w="2265" w:type="dxa"/>
            <w:shd w:val="clear" w:color="auto" w:fill="auto"/>
            <w:vAlign w:val="center"/>
          </w:tcPr>
          <w:p w14:paraId="11E16968">
            <w:pPr>
              <w:pStyle w:val="6"/>
              <w:widowControl/>
              <w:spacing w:beforeAutospacing="0" w:afterAutospacing="0" w:line="324" w:lineRule="atLeast"/>
              <w:jc w:val="center"/>
            </w:pPr>
            <w:r>
              <w:rPr>
                <w:rStyle w:val="10"/>
              </w:rPr>
              <w:t>6* ASI or Tuner Input</w:t>
            </w:r>
          </w:p>
        </w:tc>
        <w:tc>
          <w:tcPr>
            <w:tcW w:w="1560" w:type="dxa"/>
            <w:shd w:val="clear" w:color="auto" w:fill="auto"/>
            <w:vAlign w:val="center"/>
          </w:tcPr>
          <w:p w14:paraId="0AB60F7A">
            <w:pPr>
              <w:pStyle w:val="6"/>
              <w:widowControl/>
              <w:spacing w:beforeAutospacing="0" w:afterAutospacing="0" w:line="324" w:lineRule="atLeast"/>
              <w:jc w:val="center"/>
            </w:pPr>
            <w:r>
              <w:rPr>
                <w:rStyle w:val="10"/>
              </w:rPr>
              <w:t>4* Tuner input</w:t>
            </w:r>
          </w:p>
          <w:p w14:paraId="1ABD5B4D">
            <w:pPr>
              <w:pStyle w:val="6"/>
              <w:widowControl/>
              <w:spacing w:beforeAutospacing="0" w:afterAutospacing="0" w:line="324" w:lineRule="atLeast"/>
              <w:jc w:val="center"/>
            </w:pPr>
            <w:r>
              <w:t> </w:t>
            </w:r>
          </w:p>
        </w:tc>
        <w:tc>
          <w:tcPr>
            <w:tcW w:w="1560" w:type="dxa"/>
            <w:shd w:val="clear" w:color="auto" w:fill="auto"/>
            <w:vAlign w:val="center"/>
          </w:tcPr>
          <w:p w14:paraId="288EC8D3">
            <w:pPr>
              <w:pStyle w:val="6"/>
              <w:widowControl/>
              <w:spacing w:beforeAutospacing="0" w:afterAutospacing="0" w:line="324" w:lineRule="atLeast"/>
              <w:jc w:val="center"/>
            </w:pPr>
            <w:r>
              <w:rPr>
                <w:rStyle w:val="10"/>
              </w:rPr>
              <w:t>IP Input</w:t>
            </w:r>
          </w:p>
        </w:tc>
        <w:tc>
          <w:tcPr>
            <w:tcW w:w="1560" w:type="dxa"/>
            <w:shd w:val="clear" w:color="auto" w:fill="auto"/>
            <w:vAlign w:val="center"/>
          </w:tcPr>
          <w:p w14:paraId="32129100">
            <w:pPr>
              <w:pStyle w:val="6"/>
              <w:widowControl/>
              <w:spacing w:beforeAutospacing="0" w:afterAutospacing="0" w:line="324" w:lineRule="atLeast"/>
              <w:jc w:val="center"/>
            </w:pPr>
            <w:r>
              <w:rPr>
                <w:rStyle w:val="10"/>
              </w:rPr>
              <w:t>CAM/CI</w:t>
            </w:r>
          </w:p>
        </w:tc>
      </w:tr>
      <w:tr w14:paraId="7233985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2835" w:type="dxa"/>
            <w:shd w:val="clear" w:color="auto" w:fill="auto"/>
            <w:vAlign w:val="center"/>
          </w:tcPr>
          <w:p w14:paraId="477AB285">
            <w:pPr>
              <w:pStyle w:val="6"/>
              <w:widowControl/>
              <w:spacing w:beforeAutospacing="0" w:afterAutospacing="0" w:line="324" w:lineRule="atLeast"/>
            </w:pPr>
            <w:r>
              <w:t>Simple Version (FU-4359B)</w:t>
            </w:r>
          </w:p>
        </w:tc>
        <w:tc>
          <w:tcPr>
            <w:tcW w:w="2415" w:type="dxa"/>
            <w:shd w:val="clear" w:color="auto" w:fill="auto"/>
            <w:vAlign w:val="center"/>
          </w:tcPr>
          <w:p w14:paraId="0AC345DE">
            <w:pPr>
              <w:pStyle w:val="6"/>
              <w:widowControl/>
              <w:spacing w:beforeAutospacing="0" w:afterAutospacing="0" w:line="324" w:lineRule="atLeast"/>
              <w:jc w:val="center"/>
            </w:pPr>
            <w:r>
              <w:t>*  </w:t>
            </w:r>
          </w:p>
        </w:tc>
        <w:tc>
          <w:tcPr>
            <w:tcW w:w="2265" w:type="dxa"/>
            <w:shd w:val="clear" w:color="auto" w:fill="auto"/>
            <w:vAlign w:val="center"/>
          </w:tcPr>
          <w:p w14:paraId="09034D60">
            <w:pPr>
              <w:pStyle w:val="6"/>
              <w:widowControl/>
              <w:spacing w:beforeAutospacing="0" w:afterAutospacing="0" w:line="324" w:lineRule="atLeast"/>
              <w:ind w:left="420"/>
              <w:jc w:val="center"/>
            </w:pPr>
            <w:r>
              <w:t> </w:t>
            </w:r>
          </w:p>
        </w:tc>
        <w:tc>
          <w:tcPr>
            <w:tcW w:w="1560" w:type="dxa"/>
            <w:shd w:val="clear" w:color="auto" w:fill="auto"/>
            <w:vAlign w:val="center"/>
          </w:tcPr>
          <w:p w14:paraId="1CBCB581">
            <w:pPr>
              <w:pStyle w:val="6"/>
              <w:widowControl/>
              <w:spacing w:beforeAutospacing="0" w:afterAutospacing="0" w:line="324" w:lineRule="atLeast"/>
              <w:jc w:val="center"/>
            </w:pPr>
            <w:r>
              <w:t> </w:t>
            </w:r>
          </w:p>
        </w:tc>
        <w:tc>
          <w:tcPr>
            <w:tcW w:w="1560" w:type="dxa"/>
            <w:shd w:val="clear" w:color="auto" w:fill="auto"/>
            <w:vAlign w:val="center"/>
          </w:tcPr>
          <w:p w14:paraId="43A51204">
            <w:pPr>
              <w:widowControl/>
              <w:spacing w:line="324" w:lineRule="atLeast"/>
              <w:jc w:val="left"/>
            </w:pPr>
            <w:r>
              <w:rPr>
                <w:rFonts w:ascii="宋体" w:hAnsi="宋体" w:eastAsia="宋体" w:cs="宋体"/>
                <w:kern w:val="0"/>
                <w:sz w:val="24"/>
                <w:szCs w:val="24"/>
              </w:rPr>
              <w:t> </w:t>
            </w:r>
          </w:p>
        </w:tc>
        <w:tc>
          <w:tcPr>
            <w:tcW w:w="1560" w:type="dxa"/>
            <w:shd w:val="clear" w:color="auto" w:fill="auto"/>
            <w:vAlign w:val="center"/>
          </w:tcPr>
          <w:p w14:paraId="54B1EB55">
            <w:pPr>
              <w:widowControl/>
              <w:spacing w:line="324" w:lineRule="atLeast"/>
              <w:jc w:val="left"/>
            </w:pPr>
            <w:r>
              <w:rPr>
                <w:rFonts w:ascii="宋体" w:hAnsi="宋体" w:eastAsia="宋体" w:cs="宋体"/>
                <w:kern w:val="0"/>
                <w:sz w:val="24"/>
                <w:szCs w:val="24"/>
              </w:rPr>
              <w:t> </w:t>
            </w:r>
          </w:p>
        </w:tc>
      </w:tr>
      <w:tr w14:paraId="10C6C3E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2835" w:type="dxa"/>
            <w:shd w:val="clear" w:color="auto" w:fill="auto"/>
            <w:vAlign w:val="center"/>
          </w:tcPr>
          <w:p w14:paraId="62DFB501">
            <w:pPr>
              <w:pStyle w:val="6"/>
              <w:widowControl/>
              <w:spacing w:beforeAutospacing="0" w:afterAutospacing="0" w:line="324" w:lineRule="atLeast"/>
            </w:pPr>
            <w:r>
              <w:t>Advanced Version (FU-4359)</w:t>
            </w:r>
          </w:p>
        </w:tc>
        <w:tc>
          <w:tcPr>
            <w:tcW w:w="2415" w:type="dxa"/>
            <w:shd w:val="clear" w:color="auto" w:fill="auto"/>
            <w:vAlign w:val="center"/>
          </w:tcPr>
          <w:p w14:paraId="25A83DA6">
            <w:pPr>
              <w:pStyle w:val="6"/>
              <w:widowControl/>
              <w:spacing w:beforeAutospacing="0" w:afterAutospacing="0" w:line="324" w:lineRule="atLeast"/>
              <w:jc w:val="center"/>
            </w:pPr>
            <w:r>
              <w:t> </w:t>
            </w:r>
          </w:p>
        </w:tc>
        <w:tc>
          <w:tcPr>
            <w:tcW w:w="2265" w:type="dxa"/>
            <w:shd w:val="clear" w:color="auto" w:fill="auto"/>
            <w:vAlign w:val="center"/>
          </w:tcPr>
          <w:p w14:paraId="629A03EB">
            <w:pPr>
              <w:pStyle w:val="6"/>
              <w:widowControl/>
              <w:spacing w:beforeAutospacing="0" w:afterAutospacing="0" w:line="324" w:lineRule="atLeast"/>
              <w:jc w:val="center"/>
            </w:pPr>
            <w:r>
              <w:t>*</w:t>
            </w:r>
          </w:p>
        </w:tc>
        <w:tc>
          <w:tcPr>
            <w:tcW w:w="1560" w:type="dxa"/>
            <w:shd w:val="clear" w:color="auto" w:fill="auto"/>
            <w:vAlign w:val="center"/>
          </w:tcPr>
          <w:p w14:paraId="2DFD8442">
            <w:pPr>
              <w:pStyle w:val="6"/>
              <w:widowControl/>
              <w:spacing w:beforeAutospacing="0" w:afterAutospacing="0" w:line="324" w:lineRule="atLeast"/>
              <w:ind w:left="420"/>
              <w:jc w:val="center"/>
            </w:pPr>
            <w:r>
              <w:t> </w:t>
            </w:r>
          </w:p>
          <w:p w14:paraId="3B672622">
            <w:pPr>
              <w:widowControl/>
              <w:spacing w:line="324" w:lineRule="atLeast"/>
              <w:jc w:val="left"/>
            </w:pPr>
            <w:r>
              <w:rPr>
                <w:rFonts w:ascii="宋体" w:hAnsi="宋体" w:eastAsia="宋体" w:cs="宋体"/>
                <w:kern w:val="0"/>
                <w:sz w:val="24"/>
                <w:szCs w:val="24"/>
              </w:rPr>
              <w:t> </w:t>
            </w:r>
          </w:p>
        </w:tc>
        <w:tc>
          <w:tcPr>
            <w:tcW w:w="1560" w:type="dxa"/>
            <w:shd w:val="clear" w:color="auto" w:fill="auto"/>
            <w:vAlign w:val="center"/>
          </w:tcPr>
          <w:p w14:paraId="00AB48C0">
            <w:pPr>
              <w:widowControl/>
              <w:spacing w:line="324" w:lineRule="atLeast"/>
              <w:jc w:val="left"/>
            </w:pPr>
            <w:r>
              <w:rPr>
                <w:rFonts w:ascii="宋体" w:hAnsi="宋体" w:eastAsia="宋体" w:cs="宋体"/>
                <w:kern w:val="0"/>
                <w:sz w:val="24"/>
                <w:szCs w:val="24"/>
              </w:rPr>
              <w:t>          * </w:t>
            </w:r>
          </w:p>
        </w:tc>
        <w:tc>
          <w:tcPr>
            <w:tcW w:w="1560" w:type="dxa"/>
            <w:shd w:val="clear" w:color="auto" w:fill="auto"/>
            <w:vAlign w:val="center"/>
          </w:tcPr>
          <w:p w14:paraId="59D28692">
            <w:pPr>
              <w:widowControl/>
              <w:spacing w:line="324" w:lineRule="atLeast"/>
              <w:jc w:val="left"/>
            </w:pPr>
            <w:r>
              <w:rPr>
                <w:rFonts w:ascii="宋体" w:hAnsi="宋体" w:eastAsia="宋体" w:cs="宋体"/>
                <w:kern w:val="0"/>
                <w:sz w:val="24"/>
                <w:szCs w:val="24"/>
              </w:rPr>
              <w:t> </w:t>
            </w:r>
          </w:p>
        </w:tc>
      </w:tr>
      <w:tr w14:paraId="58AB9D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2835" w:type="dxa"/>
            <w:shd w:val="clear" w:color="auto" w:fill="auto"/>
            <w:vAlign w:val="center"/>
          </w:tcPr>
          <w:p w14:paraId="742E752B">
            <w:pPr>
              <w:widowControl/>
              <w:spacing w:line="324" w:lineRule="atLeast"/>
              <w:jc w:val="left"/>
            </w:pPr>
            <w:r>
              <w:rPr>
                <w:rFonts w:ascii="宋体" w:hAnsi="宋体" w:eastAsia="宋体" w:cs="宋体"/>
                <w:kern w:val="0"/>
                <w:sz w:val="24"/>
                <w:szCs w:val="24"/>
              </w:rPr>
              <w:t>FU-4359A</w:t>
            </w:r>
          </w:p>
        </w:tc>
        <w:tc>
          <w:tcPr>
            <w:tcW w:w="2415" w:type="dxa"/>
            <w:shd w:val="clear" w:color="auto" w:fill="auto"/>
            <w:vAlign w:val="center"/>
          </w:tcPr>
          <w:p w14:paraId="4A69B1D2">
            <w:pPr>
              <w:widowControl/>
              <w:spacing w:line="324" w:lineRule="atLeast"/>
              <w:jc w:val="left"/>
            </w:pPr>
            <w:r>
              <w:rPr>
                <w:rFonts w:ascii="宋体" w:hAnsi="宋体" w:eastAsia="宋体" w:cs="宋体"/>
                <w:kern w:val="0"/>
                <w:sz w:val="24"/>
                <w:szCs w:val="24"/>
              </w:rPr>
              <w:t> </w:t>
            </w:r>
          </w:p>
        </w:tc>
        <w:tc>
          <w:tcPr>
            <w:tcW w:w="2265" w:type="dxa"/>
            <w:shd w:val="clear" w:color="auto" w:fill="auto"/>
            <w:vAlign w:val="center"/>
          </w:tcPr>
          <w:p w14:paraId="3609E1CE">
            <w:pPr>
              <w:widowControl/>
              <w:spacing w:line="324" w:lineRule="atLeast"/>
              <w:jc w:val="center"/>
            </w:pPr>
            <w:r>
              <w:rPr>
                <w:rFonts w:ascii="宋体" w:hAnsi="宋体" w:eastAsia="宋体" w:cs="宋体"/>
                <w:kern w:val="0"/>
                <w:sz w:val="24"/>
                <w:szCs w:val="24"/>
              </w:rPr>
              <w:t> </w:t>
            </w:r>
          </w:p>
        </w:tc>
        <w:tc>
          <w:tcPr>
            <w:tcW w:w="1560" w:type="dxa"/>
            <w:shd w:val="clear" w:color="auto" w:fill="auto"/>
            <w:vAlign w:val="center"/>
          </w:tcPr>
          <w:p w14:paraId="65F2B336">
            <w:pPr>
              <w:widowControl/>
              <w:spacing w:line="324" w:lineRule="atLeast"/>
              <w:jc w:val="center"/>
            </w:pPr>
            <w:r>
              <w:rPr>
                <w:rFonts w:ascii="宋体" w:hAnsi="宋体" w:eastAsia="宋体" w:cs="宋体"/>
                <w:kern w:val="0"/>
                <w:sz w:val="24"/>
                <w:szCs w:val="24"/>
              </w:rPr>
              <w:t>* </w:t>
            </w:r>
          </w:p>
        </w:tc>
        <w:tc>
          <w:tcPr>
            <w:tcW w:w="1560" w:type="dxa"/>
            <w:shd w:val="clear" w:color="auto" w:fill="auto"/>
            <w:vAlign w:val="center"/>
          </w:tcPr>
          <w:p w14:paraId="4F458018">
            <w:pPr>
              <w:widowControl/>
              <w:spacing w:line="324" w:lineRule="atLeast"/>
              <w:jc w:val="center"/>
            </w:pPr>
            <w:r>
              <w:rPr>
                <w:rFonts w:ascii="宋体" w:hAnsi="宋体" w:eastAsia="宋体" w:cs="宋体"/>
                <w:kern w:val="0"/>
                <w:sz w:val="24"/>
                <w:szCs w:val="24"/>
              </w:rPr>
              <w:t>* </w:t>
            </w:r>
          </w:p>
        </w:tc>
        <w:tc>
          <w:tcPr>
            <w:tcW w:w="1560" w:type="dxa"/>
            <w:shd w:val="clear" w:color="auto" w:fill="auto"/>
            <w:vAlign w:val="center"/>
          </w:tcPr>
          <w:p w14:paraId="49DC43ED">
            <w:pPr>
              <w:widowControl/>
              <w:spacing w:line="324" w:lineRule="atLeast"/>
              <w:jc w:val="center"/>
            </w:pPr>
            <w:r>
              <w:rPr>
                <w:rFonts w:ascii="宋体" w:hAnsi="宋体" w:eastAsia="宋体" w:cs="宋体"/>
                <w:kern w:val="0"/>
                <w:sz w:val="24"/>
                <w:szCs w:val="24"/>
              </w:rPr>
              <w:t>* </w:t>
            </w:r>
          </w:p>
        </w:tc>
      </w:tr>
    </w:tbl>
    <w:p w14:paraId="2A42776D">
      <w:pPr>
        <w:pStyle w:val="6"/>
        <w:widowControl/>
        <w:spacing w:beforeAutospacing="0" w:afterAutospacing="0" w:line="324" w:lineRule="atLeast"/>
      </w:pPr>
      <w:r>
        <w:rPr>
          <w:rFonts w:ascii="Verdana" w:hAnsi="Verdana" w:cs="Verdana"/>
          <w:color w:val="333333"/>
          <w:sz w:val="18"/>
          <w:szCs w:val="18"/>
          <w:shd w:val="clear" w:color="auto" w:fill="FEFCFD"/>
        </w:rPr>
        <w:t> </w:t>
      </w:r>
    </w:p>
    <w:p w14:paraId="56323B28">
      <w:pPr>
        <w:widowControl/>
        <w:shd w:val="clear" w:color="auto" w:fill="F2F2F4"/>
        <w:jc w:val="left"/>
        <w:rPr>
          <w:rFonts w:ascii="Verdana" w:hAnsi="Verdana" w:cs="Verdana"/>
          <w:color w:val="333333"/>
          <w:sz w:val="18"/>
          <w:szCs w:val="18"/>
        </w:rPr>
      </w:pPr>
    </w:p>
    <w:p w14:paraId="67A2B817">
      <w:pPr>
        <w:rPr>
          <w:rFonts w:ascii="Verdana" w:hAnsi="Verdana" w:cs="Verdana"/>
          <w:color w:val="000000"/>
          <w:sz w:val="28"/>
        </w:rPr>
      </w:pPr>
    </w:p>
    <w:p w14:paraId="3AEA1819">
      <w:pPr>
        <w:rPr>
          <w:rFonts w:ascii="Verdana" w:hAnsi="Verdana" w:cs="Verdana"/>
          <w:b/>
          <w:color w:val="000000"/>
          <w:sz w:val="22"/>
        </w:rPr>
      </w:pPr>
      <w:r>
        <w:rPr>
          <w:rFonts w:hint="eastAsia" w:ascii="Verdana" w:hAnsi="Verdana" w:cs="Verdana"/>
          <w:b/>
          <w:color w:val="000000"/>
          <w:sz w:val="22"/>
        </w:rPr>
        <w:t>About Us</w:t>
      </w:r>
    </w:p>
    <w:p w14:paraId="77C4B3DB">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6DD02E67">
      <w:pPr>
        <w:rPr>
          <w:rFonts w:ascii="Verdana" w:hAnsi="Verdana" w:cs="Verdana"/>
          <w:color w:val="000000"/>
          <w:sz w:val="18"/>
        </w:rPr>
      </w:pPr>
    </w:p>
    <w:p w14:paraId="2768851B">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42B97">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3"/>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3"/>
        <w:rFonts w:hint="eastAsia" w:ascii="微软雅黑" w:hAnsi="微软雅黑" w:eastAsia="微软雅黑"/>
      </w:rPr>
      <w:t>+8613922702227</w:t>
    </w:r>
    <w:r>
      <w:rPr>
        <w:rStyle w:val="13"/>
        <w:rFonts w:hint="eastAsia" w:ascii="微软雅黑" w:hAnsi="微软雅黑" w:eastAsia="微软雅黑"/>
      </w:rPr>
      <w:fldChar w:fldCharType="end"/>
    </w:r>
  </w:p>
  <w:p w14:paraId="363A9F53">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27CF4">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3"/>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3"/>
        <w:rFonts w:hint="eastAsia" w:ascii="微软雅黑" w:hAnsi="微软雅黑" w:eastAsia="微软雅黑"/>
      </w:rPr>
      <w:t>+8613922702227</w:t>
    </w:r>
    <w:r>
      <w:rPr>
        <w:rStyle w:val="13"/>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310DB"/>
    <w:rsid w:val="00270F98"/>
    <w:rsid w:val="002A0C13"/>
    <w:rsid w:val="003743F3"/>
    <w:rsid w:val="003F2047"/>
    <w:rsid w:val="00444478"/>
    <w:rsid w:val="00453C05"/>
    <w:rsid w:val="00465307"/>
    <w:rsid w:val="0049468E"/>
    <w:rsid w:val="00622ACE"/>
    <w:rsid w:val="00665764"/>
    <w:rsid w:val="006A4190"/>
    <w:rsid w:val="00731840"/>
    <w:rsid w:val="007349B0"/>
    <w:rsid w:val="007359E2"/>
    <w:rsid w:val="0077681E"/>
    <w:rsid w:val="0085432F"/>
    <w:rsid w:val="0086471C"/>
    <w:rsid w:val="008D6808"/>
    <w:rsid w:val="00952937"/>
    <w:rsid w:val="00A16F8C"/>
    <w:rsid w:val="00A35CEF"/>
    <w:rsid w:val="00AE759F"/>
    <w:rsid w:val="00AF7C10"/>
    <w:rsid w:val="00B11FEF"/>
    <w:rsid w:val="00B4381C"/>
    <w:rsid w:val="00B539FF"/>
    <w:rsid w:val="00B56E04"/>
    <w:rsid w:val="00BD4043"/>
    <w:rsid w:val="00C44FAF"/>
    <w:rsid w:val="00D24477"/>
    <w:rsid w:val="00D65641"/>
    <w:rsid w:val="00D65FAC"/>
    <w:rsid w:val="00D92099"/>
    <w:rsid w:val="00F268A0"/>
    <w:rsid w:val="00F714FF"/>
    <w:rsid w:val="00F7593F"/>
    <w:rsid w:val="00FC60FC"/>
    <w:rsid w:val="033D434A"/>
    <w:rsid w:val="050D1B11"/>
    <w:rsid w:val="0A680B1B"/>
    <w:rsid w:val="0B2D35D4"/>
    <w:rsid w:val="0CB24570"/>
    <w:rsid w:val="0E714EC9"/>
    <w:rsid w:val="0FC87CEA"/>
    <w:rsid w:val="101C4557"/>
    <w:rsid w:val="15C25510"/>
    <w:rsid w:val="18AE427D"/>
    <w:rsid w:val="18E81EA3"/>
    <w:rsid w:val="19633D35"/>
    <w:rsid w:val="1B974A15"/>
    <w:rsid w:val="1CDC4CA0"/>
    <w:rsid w:val="1FCC39C5"/>
    <w:rsid w:val="205D2D51"/>
    <w:rsid w:val="20F61905"/>
    <w:rsid w:val="2199682E"/>
    <w:rsid w:val="239E3C7B"/>
    <w:rsid w:val="25531224"/>
    <w:rsid w:val="27B55639"/>
    <w:rsid w:val="2A752F8B"/>
    <w:rsid w:val="2C665CEA"/>
    <w:rsid w:val="2E0F6BE8"/>
    <w:rsid w:val="314F3E41"/>
    <w:rsid w:val="3B533162"/>
    <w:rsid w:val="45872050"/>
    <w:rsid w:val="478E224E"/>
    <w:rsid w:val="47DE23F0"/>
    <w:rsid w:val="485E04E5"/>
    <w:rsid w:val="487316FE"/>
    <w:rsid w:val="49344B56"/>
    <w:rsid w:val="49B75FAC"/>
    <w:rsid w:val="4BA542C3"/>
    <w:rsid w:val="4E4A4BF6"/>
    <w:rsid w:val="4F8D25ED"/>
    <w:rsid w:val="51AD130D"/>
    <w:rsid w:val="522032FF"/>
    <w:rsid w:val="540A3FAB"/>
    <w:rsid w:val="562E484B"/>
    <w:rsid w:val="56834992"/>
    <w:rsid w:val="5930748A"/>
    <w:rsid w:val="59933671"/>
    <w:rsid w:val="5AA83521"/>
    <w:rsid w:val="5EEA5249"/>
    <w:rsid w:val="609213A6"/>
    <w:rsid w:val="61BA6334"/>
    <w:rsid w:val="62203FEC"/>
    <w:rsid w:val="63C27F07"/>
    <w:rsid w:val="68AD6386"/>
    <w:rsid w:val="6BE07FFA"/>
    <w:rsid w:val="6D7A6503"/>
    <w:rsid w:val="70757613"/>
    <w:rsid w:val="70B756B4"/>
    <w:rsid w:val="73270F88"/>
    <w:rsid w:val="74455F31"/>
    <w:rsid w:val="7540100C"/>
    <w:rsid w:val="76E743E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7"/>
    <w:semiHidden/>
    <w:unhideWhenUsed/>
    <w:qFormat/>
    <w:uiPriority w:val="99"/>
    <w:rPr>
      <w:sz w:val="18"/>
      <w:szCs w:val="18"/>
    </w:rPr>
  </w:style>
  <w:style w:type="paragraph" w:styleId="4">
    <w:name w:val="footer"/>
    <w:basedOn w:val="1"/>
    <w:link w:val="15"/>
    <w:semiHidden/>
    <w:unhideWhenUsed/>
    <w:qFormat/>
    <w:uiPriority w:val="99"/>
    <w:pPr>
      <w:tabs>
        <w:tab w:val="center" w:pos="4153"/>
        <w:tab w:val="right" w:pos="8306"/>
      </w:tabs>
      <w:snapToGrid w:val="0"/>
      <w:jc w:val="left"/>
    </w:pPr>
    <w:rPr>
      <w:sz w:val="18"/>
      <w:szCs w:val="18"/>
    </w:rPr>
  </w:style>
  <w:style w:type="paragraph" w:styleId="5">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Emphasis"/>
    <w:basedOn w:val="9"/>
    <w:qFormat/>
    <w:uiPriority w:val="20"/>
    <w:rPr>
      <w:i/>
    </w:rPr>
  </w:style>
  <w:style w:type="character" w:styleId="13">
    <w:name w:val="Hyperlink"/>
    <w:basedOn w:val="9"/>
    <w:unhideWhenUsed/>
    <w:qFormat/>
    <w:uiPriority w:val="99"/>
    <w:rPr>
      <w:color w:val="0000FF"/>
      <w:u w:val="single"/>
    </w:rPr>
  </w:style>
  <w:style w:type="character" w:customStyle="1" w:styleId="14">
    <w:name w:val="页眉 Char"/>
    <w:basedOn w:val="9"/>
    <w:link w:val="5"/>
    <w:semiHidden/>
    <w:qFormat/>
    <w:uiPriority w:val="99"/>
    <w:rPr>
      <w:sz w:val="18"/>
      <w:szCs w:val="18"/>
    </w:rPr>
  </w:style>
  <w:style w:type="character" w:customStyle="1" w:styleId="15">
    <w:name w:val="页脚 Char"/>
    <w:basedOn w:val="9"/>
    <w:link w:val="4"/>
    <w:semiHidden/>
    <w:qFormat/>
    <w:uiPriority w:val="99"/>
    <w:rPr>
      <w:sz w:val="18"/>
      <w:szCs w:val="18"/>
    </w:rPr>
  </w:style>
  <w:style w:type="paragraph" w:styleId="16">
    <w:name w:val="List Paragraph"/>
    <w:basedOn w:val="1"/>
    <w:qFormat/>
    <w:uiPriority w:val="34"/>
    <w:pPr>
      <w:ind w:firstLine="420" w:firstLineChars="200"/>
    </w:pPr>
    <w:rPr>
      <w:rFonts w:ascii="Times New Roman" w:hAnsi="Times New Roman" w:eastAsia="宋体" w:cs="Times New Roman"/>
      <w:szCs w:val="24"/>
    </w:rPr>
  </w:style>
  <w:style w:type="character" w:customStyle="1" w:styleId="17">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Transcoder/NDS3248A/3EEECN_20140325015404.jpg" TargetMode="External"/><Relationship Id="rId8" Type="http://schemas.openxmlformats.org/officeDocument/2006/relationships/image" Target="media/image3.jpeg"/><Relationship Id="rId7" Type="http://schemas.openxmlformats.org/officeDocument/2006/relationships/hyperlink" Target="https://english.dsdvb.com/Upload/images/Product/Transcoder/NDS3248A/3EEECN_20140923090438.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5.jpeg"/><Relationship Id="rId11" Type="http://schemas.openxmlformats.org/officeDocument/2006/relationships/hyperlink" Target="https://english.dsdvb.com/Upload/images/Product/Transcoder/NDS3248/3EEECN_20130301060107.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348</Words>
  <Characters>1952</Characters>
  <Lines>25</Lines>
  <Paragraphs>7</Paragraphs>
  <TotalTime>27</TotalTime>
  <ScaleCrop>false</ScaleCrop>
  <LinksUpToDate>false</LinksUpToDate>
  <CharactersWithSpaces>2281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2026-08-11T06:44:24Z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