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49A5F">
      <w:pPr>
        <w:pStyle w:val="2"/>
        <w:widowControl/>
        <w:spacing w:beforeAutospacing="0" w:afterAutospacing="0" w:line="324" w:lineRule="atLeast"/>
        <w:jc w:val="center"/>
        <w:rPr>
          <w:rFonts w:hint="default"/>
        </w:rPr>
      </w:pPr>
      <w:r>
        <w:rPr>
          <w:rFonts w:hint="eastAsia" w:ascii="Verdana" w:hAnsi="Verdana" w:cs="Verdana"/>
          <w:b/>
          <w:i w:val="0"/>
          <w:strike w:val="0"/>
          <w:color w:val="000000"/>
          <w:sz w:val="28"/>
          <w:lang w:eastAsia="zh-CN"/>
        </w:rPr>
        <w:t>FMUSER FUQ-4412B QAM Modulator 1ch ASI Input - RF Output DVB-C ITU-T J.83A-B-C QAM Modulation TS Processing RS Encoding Broadcast Satellite</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 xml:space="preserve">Applications </w:t>
      </w:r>
      <w:bookmarkStart w:id="0" w:name="_GoBack"/>
      <w:r>
        <w:rPr>
          <w:rFonts w:hint="default" w:ascii="Verdana" w:hAnsi="Verdana" w:cs="Verdana"/>
          <w:b w:val="0"/>
          <w:color w:val="000000"/>
          <w:sz w:val="28"/>
        </w:rPr>
        <w:drawing>
          <wp:inline distT="0" distB="0" distL="114300" distR="114300">
            <wp:extent cx="6181725" cy="3400425"/>
            <wp:effectExtent l="0" t="0" r="9525" b="9525"/>
            <wp:docPr id="1" name="图片 1" descr="3EEECN_20180828012719"/>
            <wp:cNvGraphicFramePr/>
            <a:graphic xmlns:a="http://schemas.openxmlformats.org/drawingml/2006/main">
              <a:graphicData uri="http://schemas.openxmlformats.org/drawingml/2006/picture">
                <pic:pic xmlns:pic="http://schemas.openxmlformats.org/drawingml/2006/picture">
                  <pic:nvPicPr>
                    <pic:cNvPr id="1" name="图片 1" descr="3EEECN_20180828012719"/>
                    <pic:cNvPicPr/>
                  </pic:nvPicPr>
                  <pic:blipFill>
                    <a:blip r:embed="rId6"/>
                    <a:stretch>
                      <a:fillRect/>
                    </a:stretch>
                  </pic:blipFill>
                  <pic:spPr>
                    <a:xfrm>
                      <a:off x="0" y="0"/>
                      <a:ext cx="6181725" cy="3400425"/>
                    </a:xfrm>
                    <a:prstGeom prst="rect">
                      <a:avLst/>
                    </a:prstGeom>
                  </pic:spPr>
                </pic:pic>
              </a:graphicData>
            </a:graphic>
          </wp:inline>
        </w:drawing>
      </w:r>
      <w:bookmarkEnd w:id="0"/>
      <w:r>
        <w:rPr>
          <w:rFonts w:hint="eastAsia"/>
          <w:color w:val="FF8C00"/>
          <w:sz w:val="21"/>
          <w:szCs w:val="21"/>
          <w:shd w:val="clear" w:color="auto" w:fill="FEFCFD"/>
          <w:lang w:eastAsia="zh-CN"/>
        </w:rPr>
        <w:t>Product overview</w:t>
      </w:r>
    </w:p>
    <w:p w14:paraId="45E4B428">
      <w:pPr>
        <w:pStyle w:val="7"/>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FMUSER FUQ-4412B QAM Modulator performs QAM modulation with TS and ASI inputs and RF output. It processes transport streams, applies RS encoding and convolution interlacing, and modulates signals to RF. This device supports local control via LCD/keyboard and remote NMS control. Ideal for broadcasting, interactive services, and news gathering applications.</w:t>
      </w:r>
    </w:p>
    <w:p w14:paraId="6E76AB9B">
      <w:pPr>
        <w:pStyle w:val="2"/>
        <w:widowControl/>
        <w:spacing w:beforeAutospacing="0" w:afterAutospacing="0" w:line="324" w:lineRule="atLeast"/>
        <w:rPr>
          <w:rFonts w:hint="eastAsia"/>
          <w:color w:val="FF8C00"/>
          <w:sz w:val="21"/>
          <w:szCs w:val="21"/>
          <w:shd w:val="clear" w:color="auto" w:fill="FEFCFD"/>
          <w:lang w:eastAsia="zh-CN"/>
        </w:rPr>
      </w:pPr>
      <w:r>
        <w:rPr>
          <w:rFonts w:hint="eastAsia"/>
          <w:color w:val="FF8C00"/>
          <w:sz w:val="21"/>
          <w:szCs w:val="21"/>
          <w:shd w:val="clear" w:color="auto" w:fill="FEFCFD"/>
          <w:lang w:eastAsia="zh-CN"/>
        </w:rPr>
        <w:t>Key feature</w:t>
      </w:r>
    </w:p>
    <w:p w14:paraId="6EED4AFE">
      <w:pPr>
        <w:pStyle w:val="2"/>
        <w:widowControl/>
        <w:spacing w:beforeAutospacing="0" w:afterAutospacing="0" w:line="324" w:lineRule="atLeast"/>
        <w:rPr>
          <w:rFonts w:hint="default" w:ascii="Verdana" w:hAnsi="Verdana" w:cs="Verdana" w:eastAsiaTheme="minorEastAsia"/>
          <w:b w:val="0"/>
          <w:bCs w:val="0"/>
          <w:color w:val="333333"/>
          <w:kern w:val="0"/>
          <w:sz w:val="18"/>
          <w:szCs w:val="18"/>
          <w:shd w:val="clear" w:color="auto" w:fill="FEFCFD"/>
          <w:lang w:val="en-US" w:eastAsia="zh-CN" w:bidi="ar-SA"/>
        </w:rPr>
      </w:pPr>
      <w:r>
        <w:rPr>
          <w:rFonts w:hint="eastAsia" w:ascii="Verdana" w:hAnsi="Verdana" w:cs="Verdana" w:eastAsiaTheme="minorEastAsia"/>
          <w:b w:val="0"/>
          <w:bCs w:val="0"/>
          <w:color w:val="333333"/>
          <w:kern w:val="0"/>
          <w:sz w:val="18"/>
          <w:szCs w:val="18"/>
          <w:shd w:val="clear" w:color="auto" w:fill="FEFCFD"/>
          <w:lang w:val="en-US" w:eastAsia="zh-CN" w:bidi="ar-SA"/>
        </w:rPr>
        <w:t>Enables PSI/SI processing with PID filtering, re-mapping, PCR adjustment, and NIT insertion. </w:t>
      </w:r>
    </w:p>
    <w:p w14:paraId="0E98967F">
      <w:pPr>
        <w:pStyle w:val="2"/>
        <w:widowControl/>
        <w:spacing w:beforeAutospacing="0" w:afterAutospacing="0" w:line="324" w:lineRule="atLeast"/>
        <w:rPr>
          <w:rFonts w:hint="default"/>
        </w:rPr>
      </w:pPr>
      <w:r>
        <w:rPr>
          <w:color w:val="FF8C00"/>
          <w:sz w:val="21"/>
          <w:szCs w:val="21"/>
          <w:shd w:val="clear" w:color="auto" w:fill="FEFCFD"/>
        </w:rPr>
        <w:t>Specifications</w:t>
      </w:r>
    </w:p>
    <w:tbl>
      <w:tblPr>
        <w:tblStyle w:val="8"/>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444"/>
        <w:gridCol w:w="2298"/>
        <w:gridCol w:w="5008"/>
      </w:tblGrid>
      <w:tr w14:paraId="38B12D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14:paraId="104F6A7D">
            <w:pPr>
              <w:pStyle w:val="7"/>
              <w:widowControl/>
              <w:spacing w:beforeAutospacing="0" w:afterAutospacing="0" w:line="324" w:lineRule="atLeast"/>
            </w:pPr>
            <w:r>
              <w:rPr>
                <w:rStyle w:val="11"/>
              </w:rPr>
              <w:t>Input</w:t>
            </w:r>
          </w:p>
        </w:tc>
        <w:tc>
          <w:tcPr>
            <w:tcW w:w="7200" w:type="dxa"/>
            <w:gridSpan w:val="2"/>
            <w:shd w:val="clear" w:color="auto" w:fill="auto"/>
            <w:vAlign w:val="center"/>
          </w:tcPr>
          <w:p w14:paraId="2EA0FCDD">
            <w:pPr>
              <w:pStyle w:val="7"/>
              <w:widowControl/>
              <w:spacing w:beforeAutospacing="0" w:afterAutospacing="0" w:line="324" w:lineRule="atLeast"/>
            </w:pPr>
            <w:r>
              <w:t>1channle ASI input, BNC interface, 75Ω</w:t>
            </w:r>
          </w:p>
        </w:tc>
      </w:tr>
      <w:tr w14:paraId="5CECA8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restart"/>
            <w:shd w:val="clear" w:color="auto" w:fill="auto"/>
            <w:vAlign w:val="center"/>
          </w:tcPr>
          <w:p w14:paraId="6E56EF6B">
            <w:pPr>
              <w:pStyle w:val="7"/>
              <w:widowControl/>
              <w:spacing w:beforeAutospacing="0" w:afterAutospacing="0" w:line="324" w:lineRule="atLeast"/>
            </w:pPr>
            <w:r>
              <w:rPr>
                <w:rStyle w:val="11"/>
              </w:rPr>
              <w:t>    Modulation                 </w:t>
            </w:r>
          </w:p>
        </w:tc>
        <w:tc>
          <w:tcPr>
            <w:tcW w:w="2265" w:type="dxa"/>
            <w:shd w:val="clear" w:color="auto" w:fill="auto"/>
            <w:vAlign w:val="center"/>
          </w:tcPr>
          <w:p w14:paraId="6BC22D3E">
            <w:pPr>
              <w:pStyle w:val="7"/>
              <w:widowControl/>
              <w:spacing w:beforeAutospacing="0" w:afterAutospacing="0" w:line="324" w:lineRule="atLeast"/>
            </w:pPr>
            <w:r>
              <w:t>QAM Channel</w:t>
            </w:r>
          </w:p>
        </w:tc>
        <w:tc>
          <w:tcPr>
            <w:tcW w:w="4935" w:type="dxa"/>
            <w:shd w:val="clear" w:color="auto" w:fill="auto"/>
            <w:vAlign w:val="center"/>
          </w:tcPr>
          <w:p w14:paraId="2BDF1C8E">
            <w:pPr>
              <w:pStyle w:val="7"/>
              <w:widowControl/>
              <w:spacing w:beforeAutospacing="0" w:afterAutospacing="0" w:line="324" w:lineRule="atLeast"/>
            </w:pPr>
            <w:r>
              <w:t>1</w:t>
            </w:r>
          </w:p>
        </w:tc>
      </w:tr>
      <w:tr w14:paraId="73FB90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45480F0E">
            <w:pPr>
              <w:jc w:val="left"/>
              <w:rPr>
                <w:rFonts w:ascii="宋体"/>
                <w:sz w:val="24"/>
                <w:szCs w:val="24"/>
              </w:rPr>
            </w:pPr>
          </w:p>
        </w:tc>
        <w:tc>
          <w:tcPr>
            <w:tcW w:w="2265" w:type="dxa"/>
            <w:shd w:val="clear" w:color="auto" w:fill="auto"/>
            <w:vAlign w:val="center"/>
          </w:tcPr>
          <w:p w14:paraId="58567C2E">
            <w:pPr>
              <w:pStyle w:val="7"/>
              <w:widowControl/>
              <w:spacing w:beforeAutospacing="0" w:afterAutospacing="0" w:line="324" w:lineRule="atLeast"/>
            </w:pPr>
            <w:r>
              <w:t>Standard</w:t>
            </w:r>
          </w:p>
        </w:tc>
        <w:tc>
          <w:tcPr>
            <w:tcW w:w="4935" w:type="dxa"/>
            <w:shd w:val="clear" w:color="auto" w:fill="auto"/>
            <w:vAlign w:val="center"/>
          </w:tcPr>
          <w:p w14:paraId="42F9ADCB">
            <w:pPr>
              <w:pStyle w:val="7"/>
              <w:widowControl/>
              <w:spacing w:beforeAutospacing="0" w:afterAutospacing="0" w:line="324" w:lineRule="atLeast"/>
            </w:pPr>
            <w:r>
              <w:t>EN300 429/ITU-T J.83A/B/C</w:t>
            </w:r>
          </w:p>
        </w:tc>
      </w:tr>
      <w:tr w14:paraId="7E35F2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71238EC6">
            <w:pPr>
              <w:jc w:val="left"/>
              <w:rPr>
                <w:rFonts w:ascii="宋体"/>
                <w:sz w:val="24"/>
                <w:szCs w:val="24"/>
              </w:rPr>
            </w:pPr>
          </w:p>
        </w:tc>
        <w:tc>
          <w:tcPr>
            <w:tcW w:w="2265" w:type="dxa"/>
            <w:shd w:val="clear" w:color="auto" w:fill="auto"/>
            <w:vAlign w:val="center"/>
          </w:tcPr>
          <w:p w14:paraId="38BC01B6">
            <w:pPr>
              <w:pStyle w:val="7"/>
              <w:widowControl/>
              <w:spacing w:beforeAutospacing="0" w:afterAutospacing="0" w:line="324" w:lineRule="atLeast"/>
            </w:pPr>
            <w:r>
              <w:t>Symbol Rate</w:t>
            </w:r>
          </w:p>
        </w:tc>
        <w:tc>
          <w:tcPr>
            <w:tcW w:w="4935" w:type="dxa"/>
            <w:shd w:val="clear" w:color="auto" w:fill="auto"/>
            <w:vAlign w:val="center"/>
          </w:tcPr>
          <w:p w14:paraId="2E638F6C">
            <w:pPr>
              <w:pStyle w:val="7"/>
              <w:widowControl/>
              <w:spacing w:beforeAutospacing="0" w:afterAutospacing="0" w:line="324" w:lineRule="atLeast"/>
            </w:pPr>
            <w:r>
              <w:t>5.0~9.0Msps，1ksps stepping</w:t>
            </w:r>
          </w:p>
        </w:tc>
      </w:tr>
      <w:tr w14:paraId="37B7F6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5AFC35A3">
            <w:pPr>
              <w:jc w:val="left"/>
              <w:rPr>
                <w:rFonts w:ascii="宋体"/>
                <w:sz w:val="24"/>
                <w:szCs w:val="24"/>
              </w:rPr>
            </w:pPr>
          </w:p>
        </w:tc>
        <w:tc>
          <w:tcPr>
            <w:tcW w:w="2265" w:type="dxa"/>
            <w:shd w:val="clear" w:color="auto" w:fill="auto"/>
            <w:vAlign w:val="center"/>
          </w:tcPr>
          <w:p w14:paraId="3327FC27">
            <w:pPr>
              <w:pStyle w:val="7"/>
              <w:widowControl/>
              <w:spacing w:beforeAutospacing="0" w:afterAutospacing="0" w:line="324" w:lineRule="atLeast"/>
            </w:pPr>
            <w:r>
              <w:t>Constellation</w:t>
            </w:r>
          </w:p>
        </w:tc>
        <w:tc>
          <w:tcPr>
            <w:tcW w:w="4935" w:type="dxa"/>
            <w:shd w:val="clear" w:color="auto" w:fill="auto"/>
            <w:vAlign w:val="center"/>
          </w:tcPr>
          <w:p w14:paraId="49FBCD1D">
            <w:pPr>
              <w:pStyle w:val="7"/>
              <w:widowControl/>
              <w:spacing w:beforeAutospacing="0" w:afterAutospacing="0" w:line="324" w:lineRule="atLeast"/>
            </w:pPr>
            <w:r>
              <w:t>16、32、64、128、256QAM</w:t>
            </w:r>
          </w:p>
        </w:tc>
      </w:tr>
      <w:tr w14:paraId="422992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4C9521EE">
            <w:pPr>
              <w:jc w:val="left"/>
              <w:rPr>
                <w:rFonts w:ascii="宋体"/>
                <w:sz w:val="24"/>
                <w:szCs w:val="24"/>
              </w:rPr>
            </w:pPr>
          </w:p>
        </w:tc>
        <w:tc>
          <w:tcPr>
            <w:tcW w:w="2265" w:type="dxa"/>
            <w:shd w:val="clear" w:color="auto" w:fill="auto"/>
            <w:vAlign w:val="center"/>
          </w:tcPr>
          <w:p w14:paraId="157171FF">
            <w:pPr>
              <w:pStyle w:val="7"/>
              <w:widowControl/>
              <w:spacing w:beforeAutospacing="0" w:afterAutospacing="0" w:line="324" w:lineRule="atLeast"/>
            </w:pPr>
            <w:r>
              <w:t>FEC</w:t>
            </w:r>
          </w:p>
        </w:tc>
        <w:tc>
          <w:tcPr>
            <w:tcW w:w="4935" w:type="dxa"/>
            <w:shd w:val="clear" w:color="auto" w:fill="auto"/>
            <w:vAlign w:val="center"/>
          </w:tcPr>
          <w:p w14:paraId="44CB8D08">
            <w:pPr>
              <w:pStyle w:val="7"/>
              <w:widowControl/>
              <w:spacing w:beforeAutospacing="0" w:afterAutospacing="0" w:line="324" w:lineRule="atLeast"/>
            </w:pPr>
            <w:r>
              <w:t>RS(204, 188)</w:t>
            </w:r>
          </w:p>
        </w:tc>
      </w:tr>
      <w:tr w14:paraId="59B396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restart"/>
            <w:shd w:val="clear" w:color="auto" w:fill="auto"/>
            <w:vAlign w:val="center"/>
          </w:tcPr>
          <w:p w14:paraId="6FE74F9D">
            <w:pPr>
              <w:pStyle w:val="7"/>
              <w:widowControl/>
              <w:spacing w:beforeAutospacing="0" w:afterAutospacing="0" w:line="324" w:lineRule="atLeast"/>
            </w:pPr>
            <w:r>
              <w:rPr>
                <w:rStyle w:val="11"/>
              </w:rPr>
              <w:t>RF Output</w:t>
            </w:r>
          </w:p>
        </w:tc>
        <w:tc>
          <w:tcPr>
            <w:tcW w:w="2265" w:type="dxa"/>
            <w:shd w:val="clear" w:color="auto" w:fill="auto"/>
            <w:vAlign w:val="center"/>
          </w:tcPr>
          <w:p w14:paraId="31EBC425">
            <w:pPr>
              <w:pStyle w:val="7"/>
              <w:widowControl/>
              <w:spacing w:beforeAutospacing="0" w:afterAutospacing="0" w:line="324" w:lineRule="atLeast"/>
            </w:pPr>
            <w:r>
              <w:t>Connector</w:t>
            </w:r>
          </w:p>
        </w:tc>
        <w:tc>
          <w:tcPr>
            <w:tcW w:w="4935" w:type="dxa"/>
            <w:shd w:val="clear" w:color="auto" w:fill="auto"/>
            <w:vAlign w:val="center"/>
          </w:tcPr>
          <w:p w14:paraId="3275D14B">
            <w:pPr>
              <w:pStyle w:val="7"/>
              <w:widowControl/>
              <w:spacing w:beforeAutospacing="0" w:afterAutospacing="0" w:line="324" w:lineRule="atLeast"/>
            </w:pPr>
            <w:r>
              <w:t>F Type, 75Ω impedance</w:t>
            </w:r>
          </w:p>
        </w:tc>
      </w:tr>
      <w:tr w14:paraId="01B2D2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140E069B">
            <w:pPr>
              <w:jc w:val="left"/>
              <w:rPr>
                <w:rFonts w:ascii="宋体"/>
                <w:sz w:val="24"/>
                <w:szCs w:val="24"/>
              </w:rPr>
            </w:pPr>
          </w:p>
        </w:tc>
        <w:tc>
          <w:tcPr>
            <w:tcW w:w="2265" w:type="dxa"/>
            <w:shd w:val="clear" w:color="auto" w:fill="auto"/>
            <w:vAlign w:val="center"/>
          </w:tcPr>
          <w:p w14:paraId="31B0A179">
            <w:pPr>
              <w:pStyle w:val="7"/>
              <w:widowControl/>
              <w:spacing w:beforeAutospacing="0" w:afterAutospacing="0" w:line="324" w:lineRule="atLeast"/>
            </w:pPr>
            <w:r>
              <w:t>RF Range</w:t>
            </w:r>
          </w:p>
        </w:tc>
        <w:tc>
          <w:tcPr>
            <w:tcW w:w="4935" w:type="dxa"/>
            <w:shd w:val="clear" w:color="auto" w:fill="auto"/>
            <w:vAlign w:val="center"/>
          </w:tcPr>
          <w:p w14:paraId="777B1832">
            <w:pPr>
              <w:pStyle w:val="7"/>
              <w:widowControl/>
              <w:spacing w:beforeAutospacing="0" w:afterAutospacing="0" w:line="324" w:lineRule="atLeast"/>
            </w:pPr>
            <w:r>
              <w:t>30~1000MHz，1kHzStepping</w:t>
            </w:r>
          </w:p>
        </w:tc>
      </w:tr>
      <w:tr w14:paraId="06A61D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74E62A20">
            <w:pPr>
              <w:jc w:val="left"/>
              <w:rPr>
                <w:rFonts w:ascii="宋体"/>
                <w:sz w:val="24"/>
                <w:szCs w:val="24"/>
              </w:rPr>
            </w:pPr>
          </w:p>
        </w:tc>
        <w:tc>
          <w:tcPr>
            <w:tcW w:w="2265" w:type="dxa"/>
            <w:shd w:val="clear" w:color="auto" w:fill="auto"/>
            <w:vAlign w:val="center"/>
          </w:tcPr>
          <w:p w14:paraId="28B08A44">
            <w:pPr>
              <w:pStyle w:val="7"/>
              <w:widowControl/>
              <w:spacing w:beforeAutospacing="0" w:afterAutospacing="0" w:line="324" w:lineRule="atLeast"/>
            </w:pPr>
            <w:r>
              <w:t>Output Attenuation</w:t>
            </w:r>
          </w:p>
        </w:tc>
        <w:tc>
          <w:tcPr>
            <w:tcW w:w="4935" w:type="dxa"/>
            <w:shd w:val="clear" w:color="auto" w:fill="auto"/>
            <w:vAlign w:val="center"/>
          </w:tcPr>
          <w:p w14:paraId="52572D14">
            <w:pPr>
              <w:pStyle w:val="7"/>
              <w:widowControl/>
              <w:spacing w:beforeAutospacing="0" w:afterAutospacing="0" w:line="324" w:lineRule="atLeast"/>
            </w:pPr>
            <w:r>
              <w:t>-16dBm~+12dBm，0.5dB Stepping</w:t>
            </w:r>
          </w:p>
        </w:tc>
      </w:tr>
      <w:tr w14:paraId="20607E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vMerge w:val="restart"/>
            <w:shd w:val="clear" w:color="auto" w:fill="auto"/>
            <w:vAlign w:val="center"/>
          </w:tcPr>
          <w:p w14:paraId="4B99C541">
            <w:pPr>
              <w:pStyle w:val="7"/>
              <w:widowControl/>
              <w:spacing w:beforeAutospacing="0" w:afterAutospacing="0" w:line="324" w:lineRule="atLeast"/>
            </w:pPr>
            <w:r>
              <w:rPr>
                <w:rStyle w:val="11"/>
              </w:rPr>
              <w:t>System</w:t>
            </w:r>
          </w:p>
        </w:tc>
        <w:tc>
          <w:tcPr>
            <w:tcW w:w="7200" w:type="dxa"/>
            <w:gridSpan w:val="2"/>
            <w:shd w:val="clear" w:color="auto" w:fill="auto"/>
            <w:vAlign w:val="center"/>
          </w:tcPr>
          <w:p w14:paraId="20534C76">
            <w:pPr>
              <w:pStyle w:val="7"/>
              <w:widowControl/>
              <w:spacing w:beforeAutospacing="0" w:afterAutospacing="0" w:line="324" w:lineRule="atLeast"/>
            </w:pPr>
            <w:r>
              <w:t>LCD/keyboard operating and NMS support</w:t>
            </w:r>
          </w:p>
        </w:tc>
      </w:tr>
      <w:tr w14:paraId="1FEDC9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continue"/>
            <w:shd w:val="clear" w:color="auto" w:fill="auto"/>
            <w:vAlign w:val="center"/>
          </w:tcPr>
          <w:p w14:paraId="2D1024D6">
            <w:pPr>
              <w:jc w:val="left"/>
              <w:rPr>
                <w:rFonts w:ascii="宋体"/>
                <w:sz w:val="24"/>
                <w:szCs w:val="24"/>
              </w:rPr>
            </w:pPr>
          </w:p>
        </w:tc>
        <w:tc>
          <w:tcPr>
            <w:tcW w:w="7200" w:type="dxa"/>
            <w:gridSpan w:val="2"/>
            <w:shd w:val="clear" w:color="auto" w:fill="auto"/>
            <w:vAlign w:val="center"/>
          </w:tcPr>
          <w:p w14:paraId="45087E71">
            <w:pPr>
              <w:pStyle w:val="7"/>
              <w:widowControl/>
              <w:spacing w:beforeAutospacing="0" w:afterAutospacing="0" w:line="324" w:lineRule="atLeast"/>
            </w:pPr>
            <w:r>
              <w:t>English and Chinese interface conversion</w:t>
            </w:r>
          </w:p>
        </w:tc>
      </w:tr>
      <w:tr w14:paraId="53EF76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11BC859C">
            <w:pPr>
              <w:jc w:val="left"/>
              <w:rPr>
                <w:rFonts w:ascii="宋体"/>
                <w:sz w:val="24"/>
                <w:szCs w:val="24"/>
              </w:rPr>
            </w:pPr>
          </w:p>
        </w:tc>
        <w:tc>
          <w:tcPr>
            <w:tcW w:w="7200" w:type="dxa"/>
            <w:gridSpan w:val="2"/>
            <w:shd w:val="clear" w:color="auto" w:fill="auto"/>
            <w:vAlign w:val="center"/>
          </w:tcPr>
          <w:p w14:paraId="5F80E104">
            <w:pPr>
              <w:pStyle w:val="7"/>
              <w:widowControl/>
              <w:spacing w:beforeAutospacing="0" w:afterAutospacing="0" w:line="324" w:lineRule="atLeast"/>
            </w:pPr>
            <w:r>
              <w:t>Ethernet software upgrading</w:t>
            </w:r>
          </w:p>
        </w:tc>
      </w:tr>
      <w:tr w14:paraId="552517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restart"/>
            <w:shd w:val="clear" w:color="auto" w:fill="auto"/>
            <w:vAlign w:val="center"/>
          </w:tcPr>
          <w:p w14:paraId="3B7447B1">
            <w:pPr>
              <w:pStyle w:val="7"/>
              <w:widowControl/>
              <w:spacing w:beforeAutospacing="0" w:afterAutospacing="0" w:line="324" w:lineRule="atLeast"/>
            </w:pPr>
            <w:r>
              <w:rPr>
                <w:rStyle w:val="11"/>
              </w:rPr>
              <w:t>General</w:t>
            </w:r>
          </w:p>
        </w:tc>
        <w:tc>
          <w:tcPr>
            <w:tcW w:w="2265" w:type="dxa"/>
            <w:shd w:val="clear" w:color="auto" w:fill="auto"/>
            <w:vAlign w:val="center"/>
          </w:tcPr>
          <w:p w14:paraId="38089EB6">
            <w:pPr>
              <w:pStyle w:val="7"/>
              <w:widowControl/>
              <w:spacing w:beforeAutospacing="0" w:afterAutospacing="0" w:line="324" w:lineRule="atLeast"/>
            </w:pPr>
            <w:r>
              <w:t>Dimension(W*D*H)</w:t>
            </w:r>
          </w:p>
        </w:tc>
        <w:tc>
          <w:tcPr>
            <w:tcW w:w="4935" w:type="dxa"/>
            <w:shd w:val="clear" w:color="auto" w:fill="auto"/>
            <w:vAlign w:val="center"/>
          </w:tcPr>
          <w:p w14:paraId="7AE8AE40">
            <w:pPr>
              <w:pStyle w:val="7"/>
              <w:widowControl/>
              <w:spacing w:beforeAutospacing="0" w:afterAutospacing="0" w:line="324" w:lineRule="atLeast"/>
            </w:pPr>
            <w:r>
              <w:t>482mm×300mm×44mm</w:t>
            </w:r>
          </w:p>
        </w:tc>
      </w:tr>
      <w:tr w14:paraId="2314A7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1259135E">
            <w:pPr>
              <w:jc w:val="left"/>
              <w:rPr>
                <w:rFonts w:ascii="宋体"/>
                <w:sz w:val="24"/>
                <w:szCs w:val="24"/>
              </w:rPr>
            </w:pPr>
          </w:p>
        </w:tc>
        <w:tc>
          <w:tcPr>
            <w:tcW w:w="2265" w:type="dxa"/>
            <w:shd w:val="clear" w:color="auto" w:fill="auto"/>
            <w:vAlign w:val="center"/>
          </w:tcPr>
          <w:p w14:paraId="2390E235">
            <w:pPr>
              <w:pStyle w:val="7"/>
              <w:widowControl/>
              <w:spacing w:beforeAutospacing="0" w:afterAutospacing="0" w:line="324" w:lineRule="atLeast"/>
            </w:pPr>
            <w:r>
              <w:t>Weight</w:t>
            </w:r>
          </w:p>
        </w:tc>
        <w:tc>
          <w:tcPr>
            <w:tcW w:w="4935" w:type="dxa"/>
            <w:shd w:val="clear" w:color="auto" w:fill="auto"/>
            <w:vAlign w:val="center"/>
          </w:tcPr>
          <w:p w14:paraId="770AD986">
            <w:pPr>
              <w:pStyle w:val="7"/>
              <w:widowControl/>
              <w:spacing w:beforeAutospacing="0" w:afterAutospacing="0" w:line="324" w:lineRule="atLeast"/>
            </w:pPr>
            <w:r>
              <w:t>2.3kg</w:t>
            </w:r>
          </w:p>
        </w:tc>
      </w:tr>
      <w:tr w14:paraId="1726EE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42FD96B4">
            <w:pPr>
              <w:jc w:val="left"/>
              <w:rPr>
                <w:rFonts w:ascii="宋体"/>
                <w:sz w:val="24"/>
                <w:szCs w:val="24"/>
              </w:rPr>
            </w:pPr>
          </w:p>
        </w:tc>
        <w:tc>
          <w:tcPr>
            <w:tcW w:w="2265" w:type="dxa"/>
            <w:shd w:val="clear" w:color="auto" w:fill="auto"/>
            <w:vAlign w:val="center"/>
          </w:tcPr>
          <w:p w14:paraId="3387C4C3">
            <w:pPr>
              <w:pStyle w:val="7"/>
              <w:widowControl/>
              <w:spacing w:beforeAutospacing="0" w:afterAutospacing="0" w:line="324" w:lineRule="atLeast"/>
            </w:pPr>
            <w:r>
              <w:t>Temperature</w:t>
            </w:r>
          </w:p>
        </w:tc>
        <w:tc>
          <w:tcPr>
            <w:tcW w:w="4935" w:type="dxa"/>
            <w:shd w:val="clear" w:color="auto" w:fill="auto"/>
            <w:vAlign w:val="center"/>
          </w:tcPr>
          <w:p w14:paraId="7FFA4E08">
            <w:pPr>
              <w:pStyle w:val="7"/>
              <w:widowControl/>
              <w:spacing w:beforeAutospacing="0" w:afterAutospacing="0" w:line="324" w:lineRule="atLeast"/>
            </w:pPr>
            <w:r>
              <w:t>0~45℃(Operation) ; -20~80℃(Storage)</w:t>
            </w:r>
          </w:p>
        </w:tc>
      </w:tr>
      <w:tr w14:paraId="1AEC77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5FA1D4BC">
            <w:pPr>
              <w:jc w:val="left"/>
              <w:rPr>
                <w:rFonts w:ascii="宋体"/>
                <w:sz w:val="24"/>
                <w:szCs w:val="24"/>
              </w:rPr>
            </w:pPr>
          </w:p>
        </w:tc>
        <w:tc>
          <w:tcPr>
            <w:tcW w:w="2265" w:type="dxa"/>
            <w:shd w:val="clear" w:color="auto" w:fill="auto"/>
            <w:vAlign w:val="center"/>
          </w:tcPr>
          <w:p w14:paraId="520879DC">
            <w:pPr>
              <w:pStyle w:val="7"/>
              <w:widowControl/>
              <w:spacing w:beforeAutospacing="0" w:afterAutospacing="0" w:line="324" w:lineRule="atLeast"/>
            </w:pPr>
            <w:r>
              <w:t>Power</w:t>
            </w:r>
          </w:p>
        </w:tc>
        <w:tc>
          <w:tcPr>
            <w:tcW w:w="4935" w:type="dxa"/>
            <w:shd w:val="clear" w:color="auto" w:fill="auto"/>
            <w:vAlign w:val="center"/>
          </w:tcPr>
          <w:p w14:paraId="29DF1138">
            <w:pPr>
              <w:pStyle w:val="7"/>
              <w:widowControl/>
              <w:spacing w:beforeAutospacing="0" w:afterAutospacing="0" w:line="324" w:lineRule="atLeast"/>
            </w:pPr>
            <w:r>
              <w:t>AC 110V±10%，50/60Hz； or AC 220V±10%，50/60Hz</w:t>
            </w:r>
          </w:p>
        </w:tc>
      </w:tr>
      <w:tr w14:paraId="596CE3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01C6F54F">
            <w:pPr>
              <w:jc w:val="left"/>
              <w:rPr>
                <w:rFonts w:ascii="宋体"/>
                <w:sz w:val="24"/>
                <w:szCs w:val="24"/>
              </w:rPr>
            </w:pPr>
          </w:p>
        </w:tc>
        <w:tc>
          <w:tcPr>
            <w:tcW w:w="2265" w:type="dxa"/>
            <w:shd w:val="clear" w:color="auto" w:fill="auto"/>
            <w:vAlign w:val="center"/>
          </w:tcPr>
          <w:p w14:paraId="2664948F">
            <w:pPr>
              <w:pStyle w:val="7"/>
              <w:widowControl/>
              <w:spacing w:beforeAutospacing="0" w:afterAutospacing="0" w:line="324" w:lineRule="atLeast"/>
            </w:pPr>
            <w:r>
              <w:t>Consumption</w:t>
            </w:r>
          </w:p>
        </w:tc>
        <w:tc>
          <w:tcPr>
            <w:tcW w:w="4935" w:type="dxa"/>
            <w:shd w:val="clear" w:color="auto" w:fill="auto"/>
            <w:vAlign w:val="center"/>
          </w:tcPr>
          <w:p w14:paraId="5169D6B9">
            <w:pPr>
              <w:pStyle w:val="7"/>
              <w:widowControl/>
              <w:spacing w:beforeAutospacing="0" w:afterAutospacing="0" w:line="324" w:lineRule="atLeast"/>
            </w:pPr>
            <w:r>
              <w:t>22W</w:t>
            </w:r>
          </w:p>
        </w:tc>
      </w:tr>
    </w:tbl>
    <w:p w14:paraId="025FFD2B">
      <w:pPr>
        <w:pStyle w:val="7"/>
        <w:widowControl/>
        <w:spacing w:beforeAutospacing="0" w:afterAutospacing="0" w:line="324" w:lineRule="atLeast"/>
      </w:pPr>
      <w:r>
        <w:rPr>
          <w:rFonts w:ascii="Verdana" w:hAnsi="Verdana" w:cs="Verdana"/>
          <w:color w:val="333333"/>
          <w:sz w:val="18"/>
          <w:szCs w:val="18"/>
          <w:shd w:val="clear" w:color="auto" w:fill="FEFCFD"/>
        </w:rPr>
        <w:t> </w:t>
      </w:r>
    </w:p>
    <w:p w14:paraId="3D0A6932">
      <w:pPr>
        <w:widowControl/>
        <w:shd w:val="clear" w:color="auto" w:fill="F2F2F4"/>
        <w:jc w:val="left"/>
        <w:rPr>
          <w:rFonts w:ascii="Verdana" w:hAnsi="Verdana" w:cs="Verdana"/>
          <w:color w:val="333333"/>
          <w:sz w:val="18"/>
          <w:szCs w:val="18"/>
        </w:rPr>
      </w:pPr>
    </w:p>
    <w:p w14:paraId="17F21BCE">
      <w:pPr>
        <w:rPr>
          <w:rFonts w:ascii="Verdana" w:hAnsi="Verdana" w:cs="Verdana"/>
          <w:color w:val="000000"/>
          <w:sz w:val="28"/>
        </w:rPr>
      </w:pPr>
    </w:p>
    <w:p w14:paraId="571D6E1F">
      <w:pPr>
        <w:rPr>
          <w:rFonts w:ascii="Verdana" w:hAnsi="Verdana" w:cs="Verdana"/>
          <w:b/>
          <w:color w:val="000000"/>
          <w:sz w:val="22"/>
        </w:rPr>
      </w:pPr>
      <w:r>
        <w:rPr>
          <w:rFonts w:hint="eastAsia" w:ascii="Verdana" w:hAnsi="Verdana" w:cs="Verdana"/>
          <w:b/>
          <w:color w:val="000000"/>
          <w:sz w:val="22"/>
        </w:rPr>
        <w:t>About Us</w:t>
      </w:r>
    </w:p>
    <w:p w14:paraId="7897263B">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162FF8B">
      <w:pPr>
        <w:rPr>
          <w:rFonts w:ascii="Verdana" w:hAnsi="Verdana" w:cs="Verdana"/>
          <w:color w:val="000000"/>
          <w:sz w:val="18"/>
        </w:rPr>
      </w:pPr>
    </w:p>
    <w:p w14:paraId="76EC9859">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EE4AE">
    <w:pPr>
      <w:pStyle w:val="6"/>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3"/>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3"/>
        <w:rFonts w:hint="eastAsia" w:ascii="微软雅黑" w:hAnsi="微软雅黑" w:eastAsia="微软雅黑"/>
      </w:rPr>
      <w:t>+8613922702227</w:t>
    </w:r>
    <w:r>
      <w:rPr>
        <w:rStyle w:val="13"/>
        <w:rFonts w:hint="eastAsia" w:ascii="微软雅黑" w:hAnsi="微软雅黑" w:eastAsia="微软雅黑"/>
      </w:rPr>
      <w:fldChar w:fldCharType="end"/>
    </w:r>
  </w:p>
  <w:p w14:paraId="0FB5E2E3">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B2B4">
    <w:pPr>
      <w:pStyle w:val="6"/>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3"/>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3"/>
        <w:rFonts w:hint="eastAsia" w:ascii="微软雅黑" w:hAnsi="微软雅黑" w:eastAsia="微软雅黑"/>
      </w:rPr>
      <w:t>+8613922702227</w:t>
    </w:r>
    <w:r>
      <w:rPr>
        <w:rStyle w:val="13"/>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3F0"/>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B4AE5"/>
    <w:rsid w:val="00AE759F"/>
    <w:rsid w:val="00AF7C10"/>
    <w:rsid w:val="00B11FEF"/>
    <w:rsid w:val="00B4381C"/>
    <w:rsid w:val="00B539FF"/>
    <w:rsid w:val="00B56E04"/>
    <w:rsid w:val="00BD4043"/>
    <w:rsid w:val="00C44FAF"/>
    <w:rsid w:val="00D24477"/>
    <w:rsid w:val="00F268A0"/>
    <w:rsid w:val="00F714FF"/>
    <w:rsid w:val="00F7593F"/>
    <w:rsid w:val="00FC60FC"/>
    <w:rsid w:val="033D434A"/>
    <w:rsid w:val="08260756"/>
    <w:rsid w:val="0A680B1B"/>
    <w:rsid w:val="0B4D347E"/>
    <w:rsid w:val="0E6E3E3B"/>
    <w:rsid w:val="0E714EC9"/>
    <w:rsid w:val="0FC87CEA"/>
    <w:rsid w:val="101C4557"/>
    <w:rsid w:val="15C25510"/>
    <w:rsid w:val="16541F79"/>
    <w:rsid w:val="18AE427D"/>
    <w:rsid w:val="18E81EA3"/>
    <w:rsid w:val="1B974A15"/>
    <w:rsid w:val="1CDC4CA0"/>
    <w:rsid w:val="1FCC39C5"/>
    <w:rsid w:val="20F61905"/>
    <w:rsid w:val="2199682E"/>
    <w:rsid w:val="239E3C7B"/>
    <w:rsid w:val="27B55639"/>
    <w:rsid w:val="294C7F15"/>
    <w:rsid w:val="2A752F8B"/>
    <w:rsid w:val="2C665CEA"/>
    <w:rsid w:val="2E0F6BE8"/>
    <w:rsid w:val="314F3E41"/>
    <w:rsid w:val="35203FFA"/>
    <w:rsid w:val="36945045"/>
    <w:rsid w:val="3B533162"/>
    <w:rsid w:val="3E117574"/>
    <w:rsid w:val="3E9C679E"/>
    <w:rsid w:val="3F3E12C5"/>
    <w:rsid w:val="44EC149F"/>
    <w:rsid w:val="45872050"/>
    <w:rsid w:val="46594F82"/>
    <w:rsid w:val="47082D13"/>
    <w:rsid w:val="478E224E"/>
    <w:rsid w:val="485E04E5"/>
    <w:rsid w:val="487316FE"/>
    <w:rsid w:val="49B75FAC"/>
    <w:rsid w:val="4E4A4BF6"/>
    <w:rsid w:val="4F8D25ED"/>
    <w:rsid w:val="51AD130D"/>
    <w:rsid w:val="540A3FAB"/>
    <w:rsid w:val="562E484B"/>
    <w:rsid w:val="56834992"/>
    <w:rsid w:val="5930748A"/>
    <w:rsid w:val="59933671"/>
    <w:rsid w:val="5AA83521"/>
    <w:rsid w:val="5EEA5249"/>
    <w:rsid w:val="609213A6"/>
    <w:rsid w:val="61BA6334"/>
    <w:rsid w:val="62352A21"/>
    <w:rsid w:val="63C27F07"/>
    <w:rsid w:val="68922595"/>
    <w:rsid w:val="68AD6386"/>
    <w:rsid w:val="69347F6A"/>
    <w:rsid w:val="6D7A6503"/>
    <w:rsid w:val="70757613"/>
    <w:rsid w:val="70B756B4"/>
    <w:rsid w:val="73270F88"/>
    <w:rsid w:val="74455F31"/>
    <w:rsid w:val="7540100C"/>
    <w:rsid w:val="77935A18"/>
    <w:rsid w:val="7B8E7427"/>
    <w:rsid w:val="7D855596"/>
    <w:rsid w:val="7EAE425E"/>
    <w:rsid w:val="7F8A2989"/>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7"/>
    <w:semiHidden/>
    <w:unhideWhenUsed/>
    <w:qFormat/>
    <w:uiPriority w:val="99"/>
    <w:rPr>
      <w:sz w:val="18"/>
      <w:szCs w:val="18"/>
    </w:rPr>
  </w:style>
  <w:style w:type="paragraph" w:styleId="5">
    <w:name w:val="footer"/>
    <w:basedOn w:val="1"/>
    <w:link w:val="15"/>
    <w:semiHidden/>
    <w:unhideWhenUsed/>
    <w:qFormat/>
    <w:uiPriority w:val="99"/>
    <w:pPr>
      <w:tabs>
        <w:tab w:val="center" w:pos="4153"/>
        <w:tab w:val="right" w:pos="8306"/>
      </w:tabs>
      <w:snapToGrid w:val="0"/>
      <w:jc w:val="left"/>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FollowedHyperlink"/>
    <w:basedOn w:val="10"/>
    <w:semiHidden/>
    <w:unhideWhenUsed/>
    <w:qFormat/>
    <w:uiPriority w:val="99"/>
    <w:rPr>
      <w:color w:val="800080" w:themeColor="followedHyperlink"/>
      <w:u w:val="single"/>
    </w:rPr>
  </w:style>
  <w:style w:type="character" w:styleId="13">
    <w:name w:val="Hyperlink"/>
    <w:basedOn w:val="10"/>
    <w:unhideWhenUsed/>
    <w:qFormat/>
    <w:uiPriority w:val="99"/>
    <w:rPr>
      <w:color w:val="0000FF"/>
      <w:u w:val="single"/>
    </w:rPr>
  </w:style>
  <w:style w:type="character" w:customStyle="1" w:styleId="14">
    <w:name w:val="页眉 Char"/>
    <w:basedOn w:val="10"/>
    <w:link w:val="6"/>
    <w:semiHidden/>
    <w:qFormat/>
    <w:uiPriority w:val="99"/>
    <w:rPr>
      <w:sz w:val="18"/>
      <w:szCs w:val="18"/>
    </w:rPr>
  </w:style>
  <w:style w:type="character" w:customStyle="1" w:styleId="15">
    <w:name w:val="页脚 Char"/>
    <w:basedOn w:val="10"/>
    <w:link w:val="5"/>
    <w:semiHidden/>
    <w:qFormat/>
    <w:uiPriority w:val="99"/>
    <w:rPr>
      <w:sz w:val="18"/>
      <w:szCs w:val="18"/>
    </w:rPr>
  </w:style>
  <w:style w:type="paragraph" w:styleId="16">
    <w:name w:val="List Paragraph"/>
    <w:basedOn w:val="1"/>
    <w:qFormat/>
    <w:uiPriority w:val="34"/>
    <w:pPr>
      <w:ind w:firstLine="420" w:firstLineChars="200"/>
    </w:pPr>
    <w:rPr>
      <w:rFonts w:ascii="Times New Roman" w:hAnsi="Times New Roman" w:eastAsia="宋体" w:cs="Times New Roman"/>
      <w:szCs w:val="24"/>
    </w:rPr>
  </w:style>
  <w:style w:type="character" w:customStyle="1" w:styleId="17">
    <w:name w:val="批注框文本 Char"/>
    <w:basedOn w:val="10"/>
    <w:link w:val="4"/>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231</Words>
  <Characters>1414</Characters>
  <Lines>17</Lines>
  <Paragraphs>4</Paragraphs>
  <TotalTime>0</TotalTime>
  <ScaleCrop>false</ScaleCrop>
  <LinksUpToDate>false</LinksUpToDate>
  <CharactersWithSpaces>1611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2026-08-11T07:05:19Z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