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1FA95">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FUQ-4412C QAM Modulator ASI-IP Input DVB-C 16-256QAM EN300 429-ITU-T J.83A-B-C PID Filtering NIT Insertion for Broadcast</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Satellite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828023443"/>
            <wp:cNvGraphicFramePr/>
            <a:graphic xmlns:a="http://schemas.openxmlformats.org/drawingml/2006/main">
              <a:graphicData uri="http://schemas.openxmlformats.org/drawingml/2006/picture">
                <pic:pic xmlns:pic="http://schemas.openxmlformats.org/drawingml/2006/picture">
                  <pic:nvPicPr>
                    <pic:cNvPr id="1" name="图片 1" descr="3EEECN_20180828023443"/>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eastAsia="宋体" w:cs="Verdana"/>
          <w:color w:val="FF8C00"/>
          <w:sz w:val="21"/>
          <w:szCs w:val="21"/>
          <w:shd w:val="clear" w:color="auto" w:fill="FEFCFD"/>
          <w:lang w:eastAsia="zh-CN"/>
        </w:rPr>
        <w:t>Product overview</w:t>
      </w:r>
    </w:p>
    <w:p w14:paraId="1575C4FC">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FUQ-4412C is a QAM modulator supporting ASI and IP inputs for RF output. It processes transport streams with QAM modulation. Features include PID filtering, NIT insertion, and intelligent TS management. Ideal for broadcasting and interactive services.</w:t>
      </w:r>
      <w:r>
        <w:rPr>
          <w:rFonts w:ascii="Verdana" w:hAnsi="Verdana" w:cs="Verdana"/>
          <w:color w:val="333333"/>
          <w:sz w:val="18"/>
          <w:szCs w:val="18"/>
          <w:shd w:val="clear" w:color="auto" w:fill="FEFCFD"/>
        </w:rPr>
        <w:drawing>
          <wp:inline distT="0" distB="0" distL="114300" distR="114300">
            <wp:extent cx="6186170" cy="2338705"/>
            <wp:effectExtent l="0" t="0" r="5080" b="444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6170" cy="2338705"/>
                    </a:xfrm>
                    <a:prstGeom prst="rect">
                      <a:avLst/>
                    </a:prstGeom>
                    <a:noFill/>
                    <a:ln w="9525">
                      <a:noFill/>
                    </a:ln>
                  </pic:spPr>
                </pic:pic>
              </a:graphicData>
            </a:graphic>
          </wp:inline>
        </w:drawing>
      </w:r>
    </w:p>
    <w:p w14:paraId="2EDCD9FC">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1"/>
          <w:szCs w:val="21"/>
          <w:shd w:val="clear" w:color="auto" w:fill="FEFCFD"/>
          <w:lang w:eastAsia="zh-CN"/>
        </w:rPr>
        <w:t>Key feature</w:t>
      </w:r>
    </w:p>
    <w:p w14:paraId="6E2AFA99">
      <w:pPr>
        <w:pStyle w:val="6"/>
        <w:widowControl/>
        <w:spacing w:beforeAutospacing="0" w:afterAutospacing="0" w:line="324" w:lineRule="atLeast"/>
      </w:pPr>
      <w:r>
        <w:rPr>
          <w:rFonts w:hint="eastAsia" w:ascii="Verdana" w:hAnsi="Verdana" w:cs="Verdana"/>
          <w:color w:val="333333"/>
          <w:sz w:val="18"/>
          <w:szCs w:val="18"/>
          <w:shd w:val="clear" w:color="auto" w:fill="FEFCFD"/>
        </w:rPr>
        <w:t>Delivers RF output in 30–960 MHz range with 1 kHz stepping and attenuation control.</w:t>
      </w:r>
      <w:r>
        <w:rPr>
          <w:rFonts w:ascii="Verdana" w:hAnsi="Verdana" w:cs="Verdana"/>
          <w:color w:val="333333"/>
          <w:sz w:val="18"/>
          <w:szCs w:val="18"/>
          <w:shd w:val="clear" w:color="auto" w:fill="FEFCFD"/>
        </w:rPr>
        <w:t> </w:t>
      </w:r>
    </w:p>
    <w:p w14:paraId="76499CB2">
      <w:pPr>
        <w:pStyle w:val="6"/>
        <w:widowControl/>
        <w:spacing w:beforeAutospacing="0" w:afterAutospacing="0" w:line="324" w:lineRule="atLeast"/>
      </w:pPr>
      <w:r>
        <w:rPr>
          <w:rStyle w:val="10"/>
          <w:rFonts w:ascii="Verdana" w:hAnsi="Verdana" w:cs="Verdana"/>
          <w:color w:val="FF8C00"/>
          <w:sz w:val="21"/>
          <w:szCs w:val="21"/>
          <w:shd w:val="clear" w:color="auto" w:fill="FEFCFD"/>
        </w:rPr>
        <w:t>Specifications</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409"/>
        <w:gridCol w:w="2665"/>
        <w:gridCol w:w="4687"/>
      </w:tblGrid>
      <w:tr w14:paraId="5AB5F5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0A1E8769">
            <w:pPr>
              <w:pStyle w:val="6"/>
              <w:widowControl/>
              <w:spacing w:beforeAutospacing="0" w:afterAutospacing="0" w:line="324" w:lineRule="atLeast"/>
            </w:pPr>
            <w:r>
              <w:rPr>
                <w:rStyle w:val="10"/>
              </w:rPr>
              <w:t>Input</w:t>
            </w:r>
          </w:p>
        </w:tc>
        <w:tc>
          <w:tcPr>
            <w:tcW w:w="7515" w:type="dxa"/>
            <w:gridSpan w:val="2"/>
            <w:shd w:val="clear" w:color="auto" w:fill="auto"/>
            <w:vAlign w:val="center"/>
          </w:tcPr>
          <w:p w14:paraId="760550CF">
            <w:pPr>
              <w:pStyle w:val="6"/>
              <w:widowControl/>
              <w:spacing w:beforeAutospacing="0" w:afterAutospacing="0" w:line="324" w:lineRule="atLeast"/>
              <w:ind w:left="105"/>
            </w:pPr>
            <w:r>
              <w:t>1 channel ASI input, BNC interface, 75Ω</w:t>
            </w:r>
          </w:p>
        </w:tc>
      </w:tr>
      <w:tr w14:paraId="5FB798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10EBFDFA">
            <w:pPr>
              <w:jc w:val="left"/>
              <w:rPr>
                <w:rFonts w:ascii="宋体"/>
                <w:sz w:val="24"/>
                <w:szCs w:val="24"/>
              </w:rPr>
            </w:pPr>
          </w:p>
        </w:tc>
        <w:tc>
          <w:tcPr>
            <w:tcW w:w="7515" w:type="dxa"/>
            <w:gridSpan w:val="2"/>
            <w:shd w:val="clear" w:color="auto" w:fill="auto"/>
            <w:vAlign w:val="center"/>
          </w:tcPr>
          <w:p w14:paraId="533BD73B">
            <w:pPr>
              <w:pStyle w:val="6"/>
              <w:widowControl/>
              <w:spacing w:beforeAutospacing="0" w:afterAutospacing="0" w:line="324" w:lineRule="atLeast"/>
              <w:ind w:left="105"/>
            </w:pPr>
            <w:r>
              <w:t>1 channel IP (MPTS/SPTS) input over UDP (Unicast/Multicast) (100M Port)</w:t>
            </w:r>
          </w:p>
        </w:tc>
      </w:tr>
      <w:tr w14:paraId="30B81C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48FC3576">
            <w:pPr>
              <w:pStyle w:val="6"/>
              <w:widowControl/>
              <w:spacing w:beforeAutospacing="0" w:afterAutospacing="0" w:line="324" w:lineRule="atLeast"/>
            </w:pPr>
            <w:r>
              <w:rPr>
                <w:rStyle w:val="10"/>
              </w:rPr>
              <w:t>    Modulation                 </w:t>
            </w:r>
          </w:p>
        </w:tc>
        <w:tc>
          <w:tcPr>
            <w:tcW w:w="2700" w:type="dxa"/>
            <w:shd w:val="clear" w:color="auto" w:fill="auto"/>
            <w:vAlign w:val="center"/>
          </w:tcPr>
          <w:p w14:paraId="3DDC23B7">
            <w:pPr>
              <w:pStyle w:val="6"/>
              <w:widowControl/>
              <w:spacing w:beforeAutospacing="0" w:afterAutospacing="0" w:line="324" w:lineRule="atLeast"/>
              <w:ind w:left="105"/>
            </w:pPr>
            <w:r>
              <w:t>QAM Channel</w:t>
            </w:r>
          </w:p>
        </w:tc>
        <w:tc>
          <w:tcPr>
            <w:tcW w:w="4815" w:type="dxa"/>
            <w:shd w:val="clear" w:color="auto" w:fill="auto"/>
            <w:vAlign w:val="center"/>
          </w:tcPr>
          <w:p w14:paraId="1E849CCF">
            <w:pPr>
              <w:pStyle w:val="6"/>
              <w:widowControl/>
              <w:spacing w:beforeAutospacing="0" w:afterAutospacing="0" w:line="324" w:lineRule="atLeast"/>
              <w:ind w:left="105"/>
            </w:pPr>
            <w:r>
              <w:t>1</w:t>
            </w:r>
          </w:p>
        </w:tc>
      </w:tr>
      <w:tr w14:paraId="5F8691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3051CE42">
            <w:pPr>
              <w:jc w:val="left"/>
              <w:rPr>
                <w:rFonts w:ascii="宋体"/>
                <w:sz w:val="24"/>
                <w:szCs w:val="24"/>
              </w:rPr>
            </w:pPr>
          </w:p>
        </w:tc>
        <w:tc>
          <w:tcPr>
            <w:tcW w:w="2700" w:type="dxa"/>
            <w:shd w:val="clear" w:color="auto" w:fill="auto"/>
            <w:vAlign w:val="center"/>
          </w:tcPr>
          <w:p w14:paraId="752761FB">
            <w:pPr>
              <w:pStyle w:val="6"/>
              <w:widowControl/>
              <w:spacing w:beforeAutospacing="0" w:afterAutospacing="0" w:line="324" w:lineRule="atLeast"/>
              <w:ind w:left="105"/>
            </w:pPr>
            <w:r>
              <w:t>Standard</w:t>
            </w:r>
          </w:p>
        </w:tc>
        <w:tc>
          <w:tcPr>
            <w:tcW w:w="4815" w:type="dxa"/>
            <w:shd w:val="clear" w:color="auto" w:fill="auto"/>
            <w:vAlign w:val="center"/>
          </w:tcPr>
          <w:p w14:paraId="5EFFC183">
            <w:pPr>
              <w:pStyle w:val="6"/>
              <w:widowControl/>
              <w:spacing w:beforeAutospacing="0" w:afterAutospacing="0" w:line="324" w:lineRule="atLeast"/>
              <w:ind w:left="105"/>
            </w:pPr>
            <w:r>
              <w:t>EN300 429/ITU-T J.83A/B/C, GB/T170</w:t>
            </w:r>
          </w:p>
        </w:tc>
      </w:tr>
      <w:tr w14:paraId="2034F3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1CE328D3">
            <w:pPr>
              <w:jc w:val="left"/>
              <w:rPr>
                <w:rFonts w:ascii="宋体"/>
                <w:sz w:val="24"/>
                <w:szCs w:val="24"/>
              </w:rPr>
            </w:pPr>
          </w:p>
        </w:tc>
        <w:tc>
          <w:tcPr>
            <w:tcW w:w="2700" w:type="dxa"/>
            <w:shd w:val="clear" w:color="auto" w:fill="auto"/>
            <w:vAlign w:val="center"/>
          </w:tcPr>
          <w:p w14:paraId="5FB7F70B">
            <w:pPr>
              <w:pStyle w:val="6"/>
              <w:widowControl/>
              <w:spacing w:beforeAutospacing="0" w:afterAutospacing="0" w:line="324" w:lineRule="atLeast"/>
              <w:ind w:left="105"/>
            </w:pPr>
            <w:r>
              <w:t>Symbol Rate</w:t>
            </w:r>
          </w:p>
        </w:tc>
        <w:tc>
          <w:tcPr>
            <w:tcW w:w="4815" w:type="dxa"/>
            <w:shd w:val="clear" w:color="auto" w:fill="auto"/>
            <w:vAlign w:val="center"/>
          </w:tcPr>
          <w:p w14:paraId="1C2C0419">
            <w:pPr>
              <w:pStyle w:val="6"/>
              <w:widowControl/>
              <w:spacing w:beforeAutospacing="0" w:afterAutospacing="0" w:line="324" w:lineRule="atLeast"/>
              <w:ind w:left="105"/>
            </w:pPr>
            <w:r>
              <w:t>5.0~7.0Msps，1ksps stepping</w:t>
            </w:r>
          </w:p>
        </w:tc>
      </w:tr>
      <w:tr w14:paraId="4A3355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2EEBE410">
            <w:pPr>
              <w:jc w:val="left"/>
              <w:rPr>
                <w:rFonts w:ascii="宋体"/>
                <w:sz w:val="24"/>
                <w:szCs w:val="24"/>
              </w:rPr>
            </w:pPr>
          </w:p>
        </w:tc>
        <w:tc>
          <w:tcPr>
            <w:tcW w:w="2700" w:type="dxa"/>
            <w:shd w:val="clear" w:color="auto" w:fill="auto"/>
            <w:vAlign w:val="center"/>
          </w:tcPr>
          <w:p w14:paraId="689C2E8C">
            <w:pPr>
              <w:pStyle w:val="6"/>
              <w:widowControl/>
              <w:spacing w:beforeAutospacing="0" w:afterAutospacing="0" w:line="324" w:lineRule="atLeast"/>
              <w:ind w:left="105"/>
            </w:pPr>
            <w:r>
              <w:t>Constellation</w:t>
            </w:r>
          </w:p>
        </w:tc>
        <w:tc>
          <w:tcPr>
            <w:tcW w:w="4815" w:type="dxa"/>
            <w:shd w:val="clear" w:color="auto" w:fill="auto"/>
            <w:vAlign w:val="center"/>
          </w:tcPr>
          <w:p w14:paraId="3E338040">
            <w:pPr>
              <w:pStyle w:val="6"/>
              <w:widowControl/>
              <w:spacing w:beforeAutospacing="0" w:afterAutospacing="0" w:line="324" w:lineRule="atLeast"/>
              <w:ind w:left="105"/>
            </w:pPr>
            <w:r>
              <w:t>16/32/64/128/256 QAM</w:t>
            </w:r>
          </w:p>
        </w:tc>
      </w:tr>
      <w:tr w14:paraId="56B56F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1D50D91F">
            <w:pPr>
              <w:jc w:val="left"/>
              <w:rPr>
                <w:rFonts w:ascii="宋体"/>
                <w:sz w:val="24"/>
                <w:szCs w:val="24"/>
              </w:rPr>
            </w:pPr>
          </w:p>
        </w:tc>
        <w:tc>
          <w:tcPr>
            <w:tcW w:w="2700" w:type="dxa"/>
            <w:shd w:val="clear" w:color="auto" w:fill="auto"/>
            <w:vAlign w:val="center"/>
          </w:tcPr>
          <w:p w14:paraId="14037F14">
            <w:pPr>
              <w:pStyle w:val="6"/>
              <w:widowControl/>
              <w:spacing w:beforeAutospacing="0" w:afterAutospacing="0" w:line="324" w:lineRule="atLeast"/>
              <w:ind w:left="105"/>
            </w:pPr>
            <w:r>
              <w:t>FEC</w:t>
            </w:r>
          </w:p>
        </w:tc>
        <w:tc>
          <w:tcPr>
            <w:tcW w:w="4815" w:type="dxa"/>
            <w:shd w:val="clear" w:color="auto" w:fill="auto"/>
            <w:vAlign w:val="center"/>
          </w:tcPr>
          <w:p w14:paraId="1B332F68">
            <w:pPr>
              <w:pStyle w:val="6"/>
              <w:widowControl/>
              <w:spacing w:beforeAutospacing="0" w:afterAutospacing="0" w:line="324" w:lineRule="atLeast"/>
              <w:ind w:left="105"/>
            </w:pPr>
            <w:r>
              <w:t>RS (204, 188)</w:t>
            </w:r>
          </w:p>
        </w:tc>
      </w:tr>
      <w:tr w14:paraId="023A26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4152E78E">
            <w:pPr>
              <w:pStyle w:val="6"/>
              <w:widowControl/>
              <w:spacing w:beforeAutospacing="0" w:afterAutospacing="0" w:line="324" w:lineRule="atLeast"/>
            </w:pPr>
            <w:r>
              <w:rPr>
                <w:rStyle w:val="10"/>
              </w:rPr>
              <w:t>RF Output</w:t>
            </w:r>
          </w:p>
        </w:tc>
        <w:tc>
          <w:tcPr>
            <w:tcW w:w="2700" w:type="dxa"/>
            <w:shd w:val="clear" w:color="auto" w:fill="auto"/>
            <w:vAlign w:val="center"/>
          </w:tcPr>
          <w:p w14:paraId="586C2ACA">
            <w:pPr>
              <w:pStyle w:val="6"/>
              <w:widowControl/>
              <w:spacing w:beforeAutospacing="0" w:afterAutospacing="0" w:line="324" w:lineRule="atLeast"/>
              <w:ind w:left="105"/>
            </w:pPr>
            <w:r>
              <w:t>Connector</w:t>
            </w:r>
          </w:p>
        </w:tc>
        <w:tc>
          <w:tcPr>
            <w:tcW w:w="4815" w:type="dxa"/>
            <w:shd w:val="clear" w:color="auto" w:fill="auto"/>
            <w:vAlign w:val="center"/>
          </w:tcPr>
          <w:p w14:paraId="37B7D15B">
            <w:pPr>
              <w:pStyle w:val="6"/>
              <w:widowControl/>
              <w:spacing w:beforeAutospacing="0" w:afterAutospacing="0" w:line="324" w:lineRule="atLeast"/>
              <w:ind w:left="105"/>
            </w:pPr>
            <w:r>
              <w:t>F Type, 75Ω impedance</w:t>
            </w:r>
          </w:p>
        </w:tc>
      </w:tr>
      <w:tr w14:paraId="4BB3D7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430643FA">
            <w:pPr>
              <w:jc w:val="left"/>
              <w:rPr>
                <w:rFonts w:ascii="宋体"/>
                <w:sz w:val="24"/>
                <w:szCs w:val="24"/>
              </w:rPr>
            </w:pPr>
          </w:p>
        </w:tc>
        <w:tc>
          <w:tcPr>
            <w:tcW w:w="2700" w:type="dxa"/>
            <w:shd w:val="clear" w:color="auto" w:fill="auto"/>
            <w:vAlign w:val="center"/>
          </w:tcPr>
          <w:p w14:paraId="68A0FDD2">
            <w:pPr>
              <w:pStyle w:val="6"/>
              <w:widowControl/>
              <w:spacing w:beforeAutospacing="0" w:afterAutospacing="0" w:line="324" w:lineRule="atLeast"/>
              <w:ind w:left="105"/>
            </w:pPr>
            <w:r>
              <w:t>RF Range</w:t>
            </w:r>
          </w:p>
        </w:tc>
        <w:tc>
          <w:tcPr>
            <w:tcW w:w="4815" w:type="dxa"/>
            <w:shd w:val="clear" w:color="auto" w:fill="auto"/>
            <w:vAlign w:val="center"/>
          </w:tcPr>
          <w:p w14:paraId="1434549B">
            <w:pPr>
              <w:pStyle w:val="6"/>
              <w:widowControl/>
              <w:spacing w:beforeAutospacing="0" w:afterAutospacing="0" w:line="324" w:lineRule="atLeast"/>
              <w:ind w:left="105"/>
            </w:pPr>
            <w:r>
              <w:t>30~960MHz，1kHz Stepping</w:t>
            </w:r>
          </w:p>
        </w:tc>
      </w:tr>
      <w:tr w14:paraId="4339C6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241A24F8">
            <w:pPr>
              <w:jc w:val="left"/>
              <w:rPr>
                <w:rFonts w:ascii="宋体"/>
                <w:sz w:val="24"/>
                <w:szCs w:val="24"/>
              </w:rPr>
            </w:pPr>
          </w:p>
        </w:tc>
        <w:tc>
          <w:tcPr>
            <w:tcW w:w="2700" w:type="dxa"/>
            <w:shd w:val="clear" w:color="auto" w:fill="auto"/>
            <w:vAlign w:val="center"/>
          </w:tcPr>
          <w:p w14:paraId="14CB68AD">
            <w:pPr>
              <w:pStyle w:val="6"/>
              <w:widowControl/>
              <w:spacing w:beforeAutospacing="0" w:afterAutospacing="0" w:line="324" w:lineRule="atLeast"/>
              <w:ind w:left="105"/>
            </w:pPr>
            <w:r>
              <w:t>Output Attenuation</w:t>
            </w:r>
          </w:p>
        </w:tc>
        <w:tc>
          <w:tcPr>
            <w:tcW w:w="4815" w:type="dxa"/>
            <w:shd w:val="clear" w:color="auto" w:fill="auto"/>
            <w:vAlign w:val="center"/>
          </w:tcPr>
          <w:p w14:paraId="44413E05">
            <w:pPr>
              <w:pStyle w:val="6"/>
              <w:widowControl/>
              <w:spacing w:beforeAutospacing="0" w:afterAutospacing="0" w:line="324" w:lineRule="atLeast"/>
              <w:ind w:left="105"/>
            </w:pPr>
            <w:r>
              <w:t>-30dBm~0dBm, 0.5dB Stepping</w:t>
            </w:r>
          </w:p>
        </w:tc>
      </w:tr>
      <w:tr w14:paraId="7A830C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2AAEDCF2">
            <w:pPr>
              <w:pStyle w:val="6"/>
              <w:widowControl/>
              <w:spacing w:beforeAutospacing="0" w:afterAutospacing="0" w:line="324" w:lineRule="atLeast"/>
            </w:pPr>
            <w:r>
              <w:rPr>
                <w:rStyle w:val="10"/>
              </w:rPr>
              <w:t>System</w:t>
            </w:r>
          </w:p>
        </w:tc>
        <w:tc>
          <w:tcPr>
            <w:tcW w:w="7515" w:type="dxa"/>
            <w:gridSpan w:val="2"/>
            <w:shd w:val="clear" w:color="auto" w:fill="auto"/>
            <w:vAlign w:val="center"/>
          </w:tcPr>
          <w:p w14:paraId="7F72A7CB">
            <w:pPr>
              <w:pStyle w:val="6"/>
              <w:widowControl/>
              <w:spacing w:beforeAutospacing="0" w:afterAutospacing="0" w:line="324" w:lineRule="atLeast"/>
            </w:pPr>
            <w:r>
              <w:t>LCD/Keyboard operating and web NMS support</w:t>
            </w:r>
          </w:p>
        </w:tc>
      </w:tr>
      <w:tr w14:paraId="6A3694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053A4D7A">
            <w:pPr>
              <w:jc w:val="left"/>
              <w:rPr>
                <w:rFonts w:ascii="宋体"/>
                <w:sz w:val="24"/>
                <w:szCs w:val="24"/>
              </w:rPr>
            </w:pPr>
          </w:p>
        </w:tc>
        <w:tc>
          <w:tcPr>
            <w:tcW w:w="7515" w:type="dxa"/>
            <w:gridSpan w:val="2"/>
            <w:shd w:val="clear" w:color="auto" w:fill="auto"/>
            <w:vAlign w:val="center"/>
          </w:tcPr>
          <w:p w14:paraId="40EDAD4D">
            <w:pPr>
              <w:pStyle w:val="6"/>
              <w:widowControl/>
              <w:spacing w:beforeAutospacing="0" w:afterAutospacing="0" w:line="324" w:lineRule="atLeast"/>
            </w:pPr>
            <w:r>
              <w:t>Ethernet software upgrading</w:t>
            </w:r>
          </w:p>
        </w:tc>
      </w:tr>
      <w:tr w14:paraId="48398F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2203185D">
            <w:pPr>
              <w:pStyle w:val="6"/>
              <w:widowControl/>
              <w:spacing w:beforeAutospacing="0" w:afterAutospacing="0" w:line="324" w:lineRule="atLeast"/>
            </w:pPr>
            <w:r>
              <w:rPr>
                <w:rStyle w:val="10"/>
              </w:rPr>
              <w:t>General</w:t>
            </w:r>
          </w:p>
        </w:tc>
        <w:tc>
          <w:tcPr>
            <w:tcW w:w="2700" w:type="dxa"/>
            <w:shd w:val="clear" w:color="auto" w:fill="auto"/>
            <w:vAlign w:val="center"/>
          </w:tcPr>
          <w:p w14:paraId="74497EA6">
            <w:pPr>
              <w:pStyle w:val="6"/>
              <w:widowControl/>
              <w:spacing w:beforeAutospacing="0" w:afterAutospacing="0" w:line="324" w:lineRule="atLeast"/>
              <w:ind w:left="105"/>
            </w:pPr>
            <w:r>
              <w:t>Dimension(W*D*H)</w:t>
            </w:r>
          </w:p>
        </w:tc>
        <w:tc>
          <w:tcPr>
            <w:tcW w:w="4815" w:type="dxa"/>
            <w:shd w:val="clear" w:color="auto" w:fill="auto"/>
            <w:vAlign w:val="center"/>
          </w:tcPr>
          <w:p w14:paraId="340428FD">
            <w:pPr>
              <w:pStyle w:val="6"/>
              <w:widowControl/>
              <w:spacing w:beforeAutospacing="0" w:afterAutospacing="0" w:line="324" w:lineRule="atLeast"/>
              <w:ind w:left="105"/>
            </w:pPr>
            <w:r>
              <w:t>482mm×300mm×44mm</w:t>
            </w:r>
          </w:p>
        </w:tc>
      </w:tr>
      <w:tr w14:paraId="02ABCF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D7670AB">
            <w:pPr>
              <w:jc w:val="left"/>
              <w:rPr>
                <w:rFonts w:ascii="宋体"/>
                <w:sz w:val="24"/>
                <w:szCs w:val="24"/>
              </w:rPr>
            </w:pPr>
          </w:p>
        </w:tc>
        <w:tc>
          <w:tcPr>
            <w:tcW w:w="2700" w:type="dxa"/>
            <w:shd w:val="clear" w:color="auto" w:fill="auto"/>
            <w:vAlign w:val="center"/>
          </w:tcPr>
          <w:p w14:paraId="1CB1B3AE">
            <w:pPr>
              <w:pStyle w:val="6"/>
              <w:widowControl/>
              <w:spacing w:beforeAutospacing="0" w:afterAutospacing="0" w:line="324" w:lineRule="atLeast"/>
              <w:ind w:left="105"/>
            </w:pPr>
            <w:r>
              <w:t>Weight</w:t>
            </w:r>
          </w:p>
        </w:tc>
        <w:tc>
          <w:tcPr>
            <w:tcW w:w="4815" w:type="dxa"/>
            <w:shd w:val="clear" w:color="auto" w:fill="auto"/>
            <w:vAlign w:val="center"/>
          </w:tcPr>
          <w:p w14:paraId="0F752658">
            <w:pPr>
              <w:pStyle w:val="6"/>
              <w:widowControl/>
              <w:spacing w:beforeAutospacing="0" w:afterAutospacing="0" w:line="324" w:lineRule="atLeast"/>
              <w:ind w:left="105"/>
            </w:pPr>
            <w:r>
              <w:t>2.3kg</w:t>
            </w:r>
          </w:p>
        </w:tc>
      </w:tr>
      <w:tr w14:paraId="4173CA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A390007">
            <w:pPr>
              <w:jc w:val="left"/>
              <w:rPr>
                <w:rFonts w:ascii="宋体"/>
                <w:sz w:val="24"/>
                <w:szCs w:val="24"/>
              </w:rPr>
            </w:pPr>
          </w:p>
        </w:tc>
        <w:tc>
          <w:tcPr>
            <w:tcW w:w="2700" w:type="dxa"/>
            <w:shd w:val="clear" w:color="auto" w:fill="auto"/>
            <w:vAlign w:val="center"/>
          </w:tcPr>
          <w:p w14:paraId="63CC9B6F">
            <w:pPr>
              <w:pStyle w:val="6"/>
              <w:widowControl/>
              <w:spacing w:beforeAutospacing="0" w:afterAutospacing="0" w:line="324" w:lineRule="atLeast"/>
              <w:ind w:left="105"/>
            </w:pPr>
            <w:r>
              <w:t>Temperature</w:t>
            </w:r>
          </w:p>
        </w:tc>
        <w:tc>
          <w:tcPr>
            <w:tcW w:w="4815" w:type="dxa"/>
            <w:shd w:val="clear" w:color="auto" w:fill="auto"/>
            <w:vAlign w:val="center"/>
          </w:tcPr>
          <w:p w14:paraId="60A6C06B">
            <w:pPr>
              <w:pStyle w:val="6"/>
              <w:widowControl/>
              <w:spacing w:beforeAutospacing="0" w:afterAutospacing="0" w:line="324" w:lineRule="atLeast"/>
              <w:ind w:left="105"/>
            </w:pPr>
            <w:r>
              <w:t>0~45℃(Operation) ; -20~80℃(Storage)</w:t>
            </w:r>
          </w:p>
        </w:tc>
      </w:tr>
      <w:tr w14:paraId="5C6302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238A0154">
            <w:pPr>
              <w:jc w:val="left"/>
              <w:rPr>
                <w:rFonts w:ascii="宋体"/>
                <w:sz w:val="24"/>
                <w:szCs w:val="24"/>
              </w:rPr>
            </w:pPr>
          </w:p>
        </w:tc>
        <w:tc>
          <w:tcPr>
            <w:tcW w:w="2700" w:type="dxa"/>
            <w:shd w:val="clear" w:color="auto" w:fill="auto"/>
            <w:vAlign w:val="center"/>
          </w:tcPr>
          <w:p w14:paraId="3F805AF1">
            <w:pPr>
              <w:pStyle w:val="6"/>
              <w:widowControl/>
              <w:spacing w:beforeAutospacing="0" w:afterAutospacing="0" w:line="324" w:lineRule="atLeast"/>
              <w:ind w:left="105"/>
            </w:pPr>
            <w:r>
              <w:t>Power</w:t>
            </w:r>
          </w:p>
        </w:tc>
        <w:tc>
          <w:tcPr>
            <w:tcW w:w="4815" w:type="dxa"/>
            <w:shd w:val="clear" w:color="auto" w:fill="auto"/>
            <w:vAlign w:val="center"/>
          </w:tcPr>
          <w:p w14:paraId="41FB8369">
            <w:pPr>
              <w:pStyle w:val="6"/>
              <w:widowControl/>
              <w:spacing w:beforeAutospacing="0" w:afterAutospacing="0" w:line="324" w:lineRule="atLeast"/>
              <w:ind w:left="105"/>
            </w:pPr>
            <w:r>
              <w:t>AC 110V±10%, 50/60Hz</w:t>
            </w:r>
          </w:p>
          <w:p w14:paraId="41542DC4">
            <w:pPr>
              <w:pStyle w:val="6"/>
              <w:widowControl/>
              <w:spacing w:beforeAutospacing="0" w:afterAutospacing="0" w:line="324" w:lineRule="atLeast"/>
              <w:ind w:left="105"/>
            </w:pPr>
            <w:r>
              <w:t>or AC 220V±10%, 50/60Hz</w:t>
            </w:r>
          </w:p>
        </w:tc>
      </w:tr>
      <w:tr w14:paraId="654AF6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03488CFE">
            <w:pPr>
              <w:jc w:val="left"/>
              <w:rPr>
                <w:rFonts w:ascii="宋体"/>
                <w:sz w:val="24"/>
                <w:szCs w:val="24"/>
              </w:rPr>
            </w:pPr>
          </w:p>
        </w:tc>
        <w:tc>
          <w:tcPr>
            <w:tcW w:w="2700" w:type="dxa"/>
            <w:shd w:val="clear" w:color="auto" w:fill="auto"/>
            <w:vAlign w:val="center"/>
          </w:tcPr>
          <w:p w14:paraId="213CA491">
            <w:pPr>
              <w:pStyle w:val="6"/>
              <w:widowControl/>
              <w:spacing w:beforeAutospacing="0" w:afterAutospacing="0" w:line="324" w:lineRule="atLeast"/>
              <w:ind w:left="105"/>
            </w:pPr>
            <w:r>
              <w:t>Consumption</w:t>
            </w:r>
          </w:p>
        </w:tc>
        <w:tc>
          <w:tcPr>
            <w:tcW w:w="4815" w:type="dxa"/>
            <w:shd w:val="clear" w:color="auto" w:fill="auto"/>
            <w:vAlign w:val="center"/>
          </w:tcPr>
          <w:p w14:paraId="4A6461C8">
            <w:pPr>
              <w:pStyle w:val="6"/>
              <w:widowControl/>
              <w:spacing w:beforeAutospacing="0" w:afterAutospacing="0" w:line="324" w:lineRule="atLeast"/>
              <w:ind w:left="105"/>
            </w:pPr>
            <w:r>
              <w:t>22W</w:t>
            </w:r>
          </w:p>
        </w:tc>
      </w:tr>
    </w:tbl>
    <w:p w14:paraId="3CCA7469">
      <w:pPr>
        <w:pStyle w:val="6"/>
        <w:widowControl/>
        <w:spacing w:beforeAutospacing="0" w:afterAutospacing="0" w:line="324" w:lineRule="atLeast"/>
      </w:pPr>
      <w:r>
        <w:rPr>
          <w:rFonts w:ascii="Verdana" w:hAnsi="Verdana" w:cs="Verdana"/>
          <w:color w:val="333333"/>
          <w:sz w:val="18"/>
          <w:szCs w:val="18"/>
          <w:shd w:val="clear" w:color="auto" w:fill="FEFCFD"/>
        </w:rPr>
        <w:t> </w:t>
      </w:r>
    </w:p>
    <w:p w14:paraId="1E181D35">
      <w:pPr>
        <w:pStyle w:val="6"/>
        <w:widowControl/>
        <w:spacing w:beforeAutospacing="0" w:afterAutospacing="0" w:line="324" w:lineRule="atLeast"/>
      </w:pPr>
      <w:r>
        <w:rPr>
          <w:rFonts w:ascii="Verdana" w:hAnsi="Verdana" w:cs="Verdana"/>
          <w:color w:val="333333"/>
          <w:sz w:val="18"/>
          <w:szCs w:val="18"/>
          <w:shd w:val="clear" w:color="auto" w:fill="FEFCFD"/>
        </w:rPr>
        <w:t> </w:t>
      </w:r>
    </w:p>
    <w:p w14:paraId="541DBCE7">
      <w:pPr>
        <w:pStyle w:val="6"/>
        <w:widowControl/>
        <w:spacing w:beforeAutospacing="0" w:afterAutospacing="0" w:line="324" w:lineRule="atLeast"/>
      </w:pPr>
      <w:r>
        <w:rPr>
          <w:rFonts w:ascii="Verdana" w:hAnsi="Verdana" w:cs="Verdana"/>
          <w:color w:val="333333"/>
          <w:sz w:val="18"/>
          <w:szCs w:val="18"/>
          <w:shd w:val="clear" w:color="auto" w:fill="FEFCFD"/>
        </w:rPr>
        <w:t> </w:t>
      </w:r>
    </w:p>
    <w:p w14:paraId="631513B7">
      <w:pPr>
        <w:pStyle w:val="6"/>
        <w:widowControl/>
        <w:spacing w:beforeAutospacing="0" w:afterAutospacing="0" w:line="324" w:lineRule="atLeast"/>
      </w:pPr>
      <w:r>
        <w:rPr>
          <w:rFonts w:ascii="Verdana" w:hAnsi="Verdana" w:cs="Verdana"/>
          <w:color w:val="333333"/>
          <w:sz w:val="18"/>
          <w:szCs w:val="18"/>
          <w:shd w:val="clear" w:color="auto" w:fill="FEFCFD"/>
        </w:rPr>
        <w:t> </w:t>
      </w:r>
    </w:p>
    <w:p w14:paraId="3DDF8635">
      <w:pPr>
        <w:pStyle w:val="6"/>
        <w:widowControl/>
        <w:spacing w:beforeAutospacing="0" w:afterAutospacing="0" w:line="324" w:lineRule="atLeast"/>
      </w:pPr>
      <w:r>
        <w:rPr>
          <w:rFonts w:ascii="Verdana" w:hAnsi="Verdana" w:cs="Verdana"/>
          <w:color w:val="333333"/>
          <w:sz w:val="18"/>
          <w:szCs w:val="18"/>
          <w:shd w:val="clear" w:color="auto" w:fill="FEFCFD"/>
        </w:rPr>
        <w:t> </w:t>
      </w:r>
    </w:p>
    <w:p w14:paraId="5545AE31">
      <w:pPr>
        <w:widowControl/>
        <w:shd w:val="clear" w:color="auto" w:fill="F2F2F4"/>
        <w:jc w:val="left"/>
        <w:rPr>
          <w:rFonts w:ascii="Verdana" w:hAnsi="Verdana" w:cs="Verdana"/>
          <w:color w:val="333333"/>
          <w:sz w:val="18"/>
          <w:szCs w:val="18"/>
        </w:rPr>
      </w:pPr>
    </w:p>
    <w:p w14:paraId="1C2DFBDE">
      <w:pPr>
        <w:rPr>
          <w:rFonts w:ascii="Verdana" w:hAnsi="Verdana" w:cs="Verdana"/>
          <w:color w:val="000000"/>
          <w:sz w:val="28"/>
        </w:rPr>
      </w:pPr>
    </w:p>
    <w:p w14:paraId="6625FD18">
      <w:pPr>
        <w:rPr>
          <w:rFonts w:ascii="Verdana" w:hAnsi="Verdana" w:cs="Verdana"/>
          <w:b/>
          <w:color w:val="000000"/>
          <w:sz w:val="22"/>
        </w:rPr>
      </w:pPr>
      <w:r>
        <w:rPr>
          <w:rFonts w:hint="eastAsia" w:ascii="Verdana" w:hAnsi="Verdana" w:cs="Verdana"/>
          <w:b/>
          <w:color w:val="000000"/>
          <w:sz w:val="22"/>
        </w:rPr>
        <w:t>About Us</w:t>
      </w:r>
    </w:p>
    <w:p w14:paraId="7BE5132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4FAACD3">
      <w:pPr>
        <w:rPr>
          <w:rFonts w:ascii="Verdana" w:hAnsi="Verdana" w:cs="Verdana"/>
          <w:color w:val="000000"/>
          <w:sz w:val="18"/>
        </w:rPr>
      </w:pPr>
    </w:p>
    <w:p w14:paraId="251BB59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3AC5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B9506C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4B87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F72F8"/>
    <w:rsid w:val="00731840"/>
    <w:rsid w:val="007349B0"/>
    <w:rsid w:val="007359E2"/>
    <w:rsid w:val="0077681E"/>
    <w:rsid w:val="008D6808"/>
    <w:rsid w:val="00932D8D"/>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932163"/>
    <w:rsid w:val="033D434A"/>
    <w:rsid w:val="05A32B91"/>
    <w:rsid w:val="06B609C0"/>
    <w:rsid w:val="0A680B1B"/>
    <w:rsid w:val="0E714EC9"/>
    <w:rsid w:val="0FC87CEA"/>
    <w:rsid w:val="101C4557"/>
    <w:rsid w:val="15C25510"/>
    <w:rsid w:val="16AB430A"/>
    <w:rsid w:val="18AE427D"/>
    <w:rsid w:val="18E81EA3"/>
    <w:rsid w:val="1B974A15"/>
    <w:rsid w:val="1BDE2DB4"/>
    <w:rsid w:val="1CCC3533"/>
    <w:rsid w:val="1CDC4CA0"/>
    <w:rsid w:val="1FCC39C5"/>
    <w:rsid w:val="2007047D"/>
    <w:rsid w:val="20F61905"/>
    <w:rsid w:val="2199682E"/>
    <w:rsid w:val="239E3C7B"/>
    <w:rsid w:val="27B55639"/>
    <w:rsid w:val="2A752F8B"/>
    <w:rsid w:val="2C665CEA"/>
    <w:rsid w:val="2E0F6BE8"/>
    <w:rsid w:val="314F3E41"/>
    <w:rsid w:val="338255AB"/>
    <w:rsid w:val="3A6F0E69"/>
    <w:rsid w:val="3AAC0A6E"/>
    <w:rsid w:val="3B533162"/>
    <w:rsid w:val="3D0765EF"/>
    <w:rsid w:val="3FD8588D"/>
    <w:rsid w:val="45872050"/>
    <w:rsid w:val="478E224E"/>
    <w:rsid w:val="485E04E5"/>
    <w:rsid w:val="487316FE"/>
    <w:rsid w:val="49B75FAC"/>
    <w:rsid w:val="4B2648A0"/>
    <w:rsid w:val="4B3F2E26"/>
    <w:rsid w:val="4C2E4902"/>
    <w:rsid w:val="4C4D2ABC"/>
    <w:rsid w:val="4E4A4BF6"/>
    <w:rsid w:val="4F8D25ED"/>
    <w:rsid w:val="51AD130D"/>
    <w:rsid w:val="540A3FAB"/>
    <w:rsid w:val="562E484B"/>
    <w:rsid w:val="56834992"/>
    <w:rsid w:val="5930748A"/>
    <w:rsid w:val="59933671"/>
    <w:rsid w:val="5AA83521"/>
    <w:rsid w:val="5EEA5249"/>
    <w:rsid w:val="609213A6"/>
    <w:rsid w:val="61BA6334"/>
    <w:rsid w:val="63C27F07"/>
    <w:rsid w:val="68924B94"/>
    <w:rsid w:val="68AD6386"/>
    <w:rsid w:val="6D7A6503"/>
    <w:rsid w:val="70757613"/>
    <w:rsid w:val="70B756B4"/>
    <w:rsid w:val="71A854CE"/>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3301B/3EEECN_20140403120411.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217</Words>
  <Characters>1339</Characters>
  <Lines>17</Lines>
  <Paragraphs>5</Paragraphs>
  <TotalTime>0</TotalTime>
  <ScaleCrop>false</ScaleCrop>
  <LinksUpToDate>false</LinksUpToDate>
  <CharactersWithSpaces>1538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2026-08-11T07:04:52Z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