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FF1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ascii="Verdana" w:hAnsi="Verdana" w:cs="Verdana"/>
          <w:b/>
          <w:i w:val="0"/>
          <w:strike w:val="0"/>
          <w:color w:val="000000"/>
          <w:sz w:val="28"/>
          <w:lang w:val="en-US" w:eastAsia="zh-CN"/>
        </w:rPr>
        <w:t xml:space="preserve">FMUSER FUQ-4415B DVB-T Modulator 128 IP Inputs 4 Non-Adjacent RF Outputs UDP-RTP DVB-T EN300744 Multiplexing Modulation for DTV Systems </w:t>
      </w: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80423104727"/>
            <wp:cNvGraphicFramePr/>
            <a:graphic xmlns:a="http://schemas.openxmlformats.org/drawingml/2006/main">
              <a:graphicData uri="http://schemas.openxmlformats.org/drawingml/2006/picture">
                <pic:pic xmlns:pic="http://schemas.openxmlformats.org/drawingml/2006/picture">
                  <pic:nvPicPr>
                    <pic:cNvPr id="1" name="图片 1" descr="3EEECN_20180423104727"/>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default" w:ascii="Verdana" w:hAnsi="Verdana" w:eastAsia="宋体" w:cs="Verdana"/>
          <w:i w:val="0"/>
          <w:iCs w:val="0"/>
          <w:caps w:val="0"/>
          <w:color w:val="333333"/>
          <w:spacing w:val="0"/>
          <w:sz w:val="18"/>
          <w:szCs w:val="18"/>
          <w:shd w:val="clear" w:fill="FEFCFD"/>
          <w:lang w:val="en-US" w:eastAsia="zh-CN"/>
        </w:rPr>
        <w:t>Product overview</w:t>
      </w:r>
    </w:p>
    <w:p w14:paraId="42829D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The FMUSER FUQ-4415B is a DVB-T modulator with 128 IP inputs over UDP/RTP and outputs 4 DVB-T carriers and 4 MPTS streams. It integrates multiplexing and modulating functions for efficient signal processing. Features web-based NMS management for easy control. Ideal for DTV broadcasting systems, providing reliable transmission in modern headend setups.</w:t>
      </w:r>
    </w:p>
    <w:p w14:paraId="6D9B0C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Style w:val="10"/>
          <w:rFonts w:hint="default" w:ascii="Verdana" w:hAnsi="Verdana" w:eastAsia="宋体" w:cs="Verdana"/>
          <w:i w:val="0"/>
          <w:iCs w:val="0"/>
          <w:caps w:val="0"/>
          <w:color w:val="333333"/>
          <w:spacing w:val="0"/>
          <w:sz w:val="18"/>
          <w:szCs w:val="18"/>
          <w:shd w:val="clear" w:fill="FEFCFD"/>
        </w:rPr>
      </w:pPr>
      <w:r>
        <w:rPr>
          <w:rStyle w:val="10"/>
          <w:rFonts w:hint="default" w:ascii="Verdana" w:hAnsi="Verdana" w:eastAsia="宋体" w:cs="Verdana"/>
          <w:i w:val="0"/>
          <w:iCs w:val="0"/>
          <w:caps w:val="0"/>
          <w:color w:val="333333"/>
          <w:spacing w:val="0"/>
          <w:sz w:val="18"/>
          <w:szCs w:val="18"/>
          <w:shd w:val="clear" w:fill="FEFCFD"/>
        </w:rPr>
        <w:t>Key feature</w:t>
      </w:r>
    </w:p>
    <w:p w14:paraId="2BC137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Enables web-based NMS management for monitoring and configuration. </w:t>
      </w:r>
    </w:p>
    <w:p w14:paraId="30146D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w:t>
      </w:r>
    </w:p>
    <w:p w14:paraId="4A95FA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927350"/>
            <wp:effectExtent l="0" t="0" r="3810"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927350"/>
                    </a:xfrm>
                    <a:prstGeom prst="rect">
                      <a:avLst/>
                    </a:prstGeom>
                    <a:noFill/>
                    <a:ln w="9525">
                      <a:noFill/>
                    </a:ln>
                  </pic:spPr>
                </pic:pic>
              </a:graphicData>
            </a:graphic>
          </wp:inline>
        </w:drawing>
      </w:r>
    </w:p>
    <w:p w14:paraId="7284E6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D67BB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535"/>
        <w:gridCol w:w="1660"/>
        <w:gridCol w:w="1797"/>
        <w:gridCol w:w="4758"/>
      </w:tblGrid>
      <w:tr w14:paraId="7D8056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tblCellSpacing w:w="0" w:type="dxa"/>
        </w:trPr>
        <w:tc>
          <w:tcPr>
            <w:tcW w:w="1560" w:type="dxa"/>
            <w:shd w:val="clear" w:color="auto" w:fill="auto"/>
            <w:vAlign w:val="center"/>
          </w:tcPr>
          <w:p w14:paraId="0F4DE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8640" w:type="dxa"/>
            <w:gridSpan w:val="3"/>
            <w:shd w:val="clear" w:color="auto" w:fill="auto"/>
            <w:vAlign w:val="center"/>
          </w:tcPr>
          <w:p w14:paraId="0D1210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IP(SPTS/MPTS) input over UDP and RTP, RJ45, 1000M/100M, Unicast/Multicast         </w:t>
            </w:r>
          </w:p>
        </w:tc>
      </w:tr>
      <w:tr w14:paraId="2A186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90" w:hRule="atLeast"/>
          <w:tblCellSpacing w:w="0" w:type="dxa"/>
        </w:trPr>
        <w:tc>
          <w:tcPr>
            <w:tcW w:w="1560" w:type="dxa"/>
            <w:vMerge w:val="restart"/>
            <w:shd w:val="clear" w:color="auto" w:fill="auto"/>
            <w:vAlign w:val="center"/>
          </w:tcPr>
          <w:p w14:paraId="4F2400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695" w:type="dxa"/>
            <w:shd w:val="clear" w:color="auto" w:fill="auto"/>
            <w:vAlign w:val="center"/>
          </w:tcPr>
          <w:p w14:paraId="70569C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6945" w:type="dxa"/>
            <w:gridSpan w:val="2"/>
            <w:shd w:val="clear" w:color="auto" w:fill="auto"/>
            <w:vAlign w:val="center"/>
          </w:tcPr>
          <w:p w14:paraId="372B66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per input channel</w:t>
            </w:r>
          </w:p>
        </w:tc>
      </w:tr>
      <w:tr w14:paraId="3794A3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3E8BCEE6">
            <w:pPr>
              <w:jc w:val="left"/>
              <w:rPr>
                <w:rFonts w:hint="eastAsia" w:ascii="宋体"/>
                <w:sz w:val="24"/>
                <w:szCs w:val="24"/>
              </w:rPr>
            </w:pPr>
          </w:p>
        </w:tc>
        <w:tc>
          <w:tcPr>
            <w:tcW w:w="1695" w:type="dxa"/>
            <w:vMerge w:val="restart"/>
            <w:shd w:val="clear" w:color="auto" w:fill="auto"/>
            <w:vAlign w:val="center"/>
          </w:tcPr>
          <w:p w14:paraId="339B2A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6945" w:type="dxa"/>
            <w:gridSpan w:val="2"/>
            <w:shd w:val="clear" w:color="auto" w:fill="auto"/>
            <w:vAlign w:val="center"/>
          </w:tcPr>
          <w:p w14:paraId="430144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w:t>
            </w:r>
          </w:p>
        </w:tc>
      </w:tr>
      <w:tr w14:paraId="35C45D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5BA4C07B">
            <w:pPr>
              <w:jc w:val="left"/>
              <w:rPr>
                <w:rFonts w:hint="eastAsia" w:ascii="宋体"/>
                <w:sz w:val="24"/>
                <w:szCs w:val="24"/>
              </w:rPr>
            </w:pPr>
          </w:p>
        </w:tc>
        <w:tc>
          <w:tcPr>
            <w:tcW w:w="1695" w:type="dxa"/>
            <w:vMerge w:val="continue"/>
            <w:shd w:val="clear" w:color="auto" w:fill="auto"/>
            <w:vAlign w:val="center"/>
          </w:tcPr>
          <w:p w14:paraId="4E5E9D46">
            <w:pPr>
              <w:jc w:val="left"/>
              <w:rPr>
                <w:rFonts w:hint="eastAsia" w:ascii="宋体"/>
                <w:sz w:val="24"/>
                <w:szCs w:val="24"/>
              </w:rPr>
            </w:pPr>
          </w:p>
        </w:tc>
        <w:tc>
          <w:tcPr>
            <w:tcW w:w="6945" w:type="dxa"/>
            <w:gridSpan w:val="2"/>
            <w:shd w:val="clear" w:color="auto" w:fill="auto"/>
            <w:vAlign w:val="center"/>
          </w:tcPr>
          <w:p w14:paraId="2CA4A0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271EDF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3354B817">
            <w:pPr>
              <w:jc w:val="left"/>
              <w:rPr>
                <w:rFonts w:hint="eastAsia" w:ascii="宋体"/>
                <w:sz w:val="24"/>
                <w:szCs w:val="24"/>
              </w:rPr>
            </w:pPr>
          </w:p>
        </w:tc>
        <w:tc>
          <w:tcPr>
            <w:tcW w:w="1695" w:type="dxa"/>
            <w:vMerge w:val="continue"/>
            <w:shd w:val="clear" w:color="auto" w:fill="auto"/>
            <w:vAlign w:val="center"/>
          </w:tcPr>
          <w:p w14:paraId="237C2B1C">
            <w:pPr>
              <w:jc w:val="left"/>
              <w:rPr>
                <w:rFonts w:hint="eastAsia" w:ascii="宋体"/>
                <w:sz w:val="24"/>
                <w:szCs w:val="24"/>
              </w:rPr>
            </w:pPr>
          </w:p>
        </w:tc>
        <w:tc>
          <w:tcPr>
            <w:tcW w:w="6945" w:type="dxa"/>
            <w:gridSpan w:val="2"/>
            <w:shd w:val="clear" w:color="auto" w:fill="auto"/>
            <w:vAlign w:val="center"/>
          </w:tcPr>
          <w:p w14:paraId="251EAD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PSI/SI table automatically</w:t>
            </w:r>
          </w:p>
        </w:tc>
      </w:tr>
      <w:tr w14:paraId="5DA97B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3D907B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1695" w:type="dxa"/>
            <w:vMerge w:val="restart"/>
            <w:shd w:val="clear" w:color="auto" w:fill="auto"/>
            <w:vAlign w:val="center"/>
          </w:tcPr>
          <w:p w14:paraId="0DBAEF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845" w:type="dxa"/>
            <w:shd w:val="clear" w:color="auto" w:fill="auto"/>
            <w:vAlign w:val="center"/>
          </w:tcPr>
          <w:p w14:paraId="7A8D09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5100" w:type="dxa"/>
            <w:shd w:val="clear" w:color="auto" w:fill="auto"/>
            <w:vAlign w:val="center"/>
          </w:tcPr>
          <w:p w14:paraId="79F40B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7D7E97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831A742">
            <w:pPr>
              <w:jc w:val="left"/>
              <w:rPr>
                <w:rFonts w:hint="eastAsia" w:ascii="宋体"/>
                <w:sz w:val="24"/>
                <w:szCs w:val="24"/>
              </w:rPr>
            </w:pPr>
          </w:p>
        </w:tc>
        <w:tc>
          <w:tcPr>
            <w:tcW w:w="1695" w:type="dxa"/>
            <w:vMerge w:val="continue"/>
            <w:shd w:val="clear" w:color="auto" w:fill="auto"/>
            <w:vAlign w:val="center"/>
          </w:tcPr>
          <w:p w14:paraId="6EAF58C1">
            <w:pPr>
              <w:jc w:val="left"/>
              <w:rPr>
                <w:rFonts w:hint="eastAsia" w:ascii="宋体"/>
                <w:sz w:val="24"/>
                <w:szCs w:val="24"/>
              </w:rPr>
            </w:pPr>
          </w:p>
        </w:tc>
        <w:tc>
          <w:tcPr>
            <w:tcW w:w="1845" w:type="dxa"/>
            <w:shd w:val="clear" w:color="auto" w:fill="auto"/>
            <w:vAlign w:val="center"/>
          </w:tcPr>
          <w:p w14:paraId="08530A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5100" w:type="dxa"/>
            <w:shd w:val="clear" w:color="auto" w:fill="auto"/>
            <w:vAlign w:val="center"/>
          </w:tcPr>
          <w:p w14:paraId="39FCEE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w:t>
            </w:r>
          </w:p>
        </w:tc>
      </w:tr>
      <w:tr w14:paraId="36BBE0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549D2550">
            <w:pPr>
              <w:jc w:val="left"/>
              <w:rPr>
                <w:rFonts w:hint="eastAsia" w:ascii="宋体"/>
                <w:sz w:val="24"/>
                <w:szCs w:val="24"/>
              </w:rPr>
            </w:pPr>
          </w:p>
        </w:tc>
        <w:tc>
          <w:tcPr>
            <w:tcW w:w="1695" w:type="dxa"/>
            <w:vMerge w:val="continue"/>
            <w:shd w:val="clear" w:color="auto" w:fill="auto"/>
            <w:vAlign w:val="center"/>
          </w:tcPr>
          <w:p w14:paraId="25EAB1B5">
            <w:pPr>
              <w:jc w:val="left"/>
              <w:rPr>
                <w:rFonts w:hint="eastAsia" w:ascii="宋体"/>
                <w:sz w:val="24"/>
                <w:szCs w:val="24"/>
              </w:rPr>
            </w:pPr>
          </w:p>
        </w:tc>
        <w:tc>
          <w:tcPr>
            <w:tcW w:w="1845" w:type="dxa"/>
            <w:shd w:val="clear" w:color="auto" w:fill="auto"/>
            <w:vAlign w:val="center"/>
          </w:tcPr>
          <w:p w14:paraId="27B66F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5100" w:type="dxa"/>
            <w:shd w:val="clear" w:color="auto" w:fill="auto"/>
            <w:vAlign w:val="center"/>
          </w:tcPr>
          <w:p w14:paraId="64CF50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619663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E6FBC93">
            <w:pPr>
              <w:jc w:val="left"/>
              <w:rPr>
                <w:rFonts w:hint="eastAsia" w:ascii="宋体"/>
                <w:sz w:val="24"/>
                <w:szCs w:val="24"/>
              </w:rPr>
            </w:pPr>
          </w:p>
        </w:tc>
        <w:tc>
          <w:tcPr>
            <w:tcW w:w="1695" w:type="dxa"/>
            <w:vMerge w:val="continue"/>
            <w:shd w:val="clear" w:color="auto" w:fill="auto"/>
            <w:vAlign w:val="center"/>
          </w:tcPr>
          <w:p w14:paraId="12CD7AEE">
            <w:pPr>
              <w:jc w:val="left"/>
              <w:rPr>
                <w:rFonts w:hint="eastAsia" w:ascii="宋体"/>
                <w:sz w:val="24"/>
                <w:szCs w:val="24"/>
              </w:rPr>
            </w:pPr>
          </w:p>
        </w:tc>
        <w:tc>
          <w:tcPr>
            <w:tcW w:w="1845" w:type="dxa"/>
            <w:shd w:val="clear" w:color="auto" w:fill="auto"/>
            <w:vAlign w:val="center"/>
          </w:tcPr>
          <w:p w14:paraId="25A086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5100" w:type="dxa"/>
            <w:shd w:val="clear" w:color="auto" w:fill="auto"/>
            <w:vAlign w:val="center"/>
          </w:tcPr>
          <w:p w14:paraId="72097B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39324E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3071D874">
            <w:pPr>
              <w:jc w:val="left"/>
              <w:rPr>
                <w:rFonts w:hint="eastAsia" w:ascii="宋体"/>
                <w:sz w:val="24"/>
                <w:szCs w:val="24"/>
              </w:rPr>
            </w:pPr>
          </w:p>
        </w:tc>
        <w:tc>
          <w:tcPr>
            <w:tcW w:w="1695" w:type="dxa"/>
            <w:vMerge w:val="continue"/>
            <w:shd w:val="clear" w:color="auto" w:fill="auto"/>
            <w:vAlign w:val="center"/>
          </w:tcPr>
          <w:p w14:paraId="17971196">
            <w:pPr>
              <w:jc w:val="left"/>
              <w:rPr>
                <w:rFonts w:hint="eastAsia" w:ascii="宋体"/>
                <w:sz w:val="24"/>
                <w:szCs w:val="24"/>
              </w:rPr>
            </w:pPr>
          </w:p>
        </w:tc>
        <w:tc>
          <w:tcPr>
            <w:tcW w:w="1845" w:type="dxa"/>
            <w:shd w:val="clear" w:color="auto" w:fill="auto"/>
            <w:vAlign w:val="center"/>
          </w:tcPr>
          <w:p w14:paraId="4EC504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5100" w:type="dxa"/>
            <w:shd w:val="clear" w:color="auto" w:fill="auto"/>
            <w:vAlign w:val="center"/>
          </w:tcPr>
          <w:p w14:paraId="779B56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1973E0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445012D">
            <w:pPr>
              <w:jc w:val="left"/>
              <w:rPr>
                <w:rFonts w:hint="eastAsia" w:ascii="宋体"/>
                <w:sz w:val="24"/>
                <w:szCs w:val="24"/>
              </w:rPr>
            </w:pPr>
          </w:p>
        </w:tc>
        <w:tc>
          <w:tcPr>
            <w:tcW w:w="1695" w:type="dxa"/>
            <w:vMerge w:val="continue"/>
            <w:shd w:val="clear" w:color="auto" w:fill="auto"/>
            <w:vAlign w:val="center"/>
          </w:tcPr>
          <w:p w14:paraId="04684596">
            <w:pPr>
              <w:jc w:val="left"/>
              <w:rPr>
                <w:rFonts w:hint="eastAsia" w:ascii="宋体"/>
                <w:sz w:val="24"/>
                <w:szCs w:val="24"/>
              </w:rPr>
            </w:pPr>
          </w:p>
        </w:tc>
        <w:tc>
          <w:tcPr>
            <w:tcW w:w="1845" w:type="dxa"/>
            <w:shd w:val="clear" w:color="auto" w:fill="auto"/>
            <w:vAlign w:val="center"/>
          </w:tcPr>
          <w:p w14:paraId="5E7F58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5100" w:type="dxa"/>
            <w:shd w:val="clear" w:color="auto" w:fill="auto"/>
            <w:vAlign w:val="center"/>
          </w:tcPr>
          <w:p w14:paraId="679C6B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353401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E412D65">
            <w:pPr>
              <w:jc w:val="left"/>
              <w:rPr>
                <w:rFonts w:hint="eastAsia" w:ascii="宋体"/>
                <w:sz w:val="24"/>
                <w:szCs w:val="24"/>
              </w:rPr>
            </w:pPr>
          </w:p>
        </w:tc>
        <w:tc>
          <w:tcPr>
            <w:tcW w:w="1695" w:type="dxa"/>
            <w:vMerge w:val="continue"/>
            <w:shd w:val="clear" w:color="auto" w:fill="auto"/>
            <w:vAlign w:val="center"/>
          </w:tcPr>
          <w:p w14:paraId="67D98FFC">
            <w:pPr>
              <w:jc w:val="left"/>
              <w:rPr>
                <w:rFonts w:hint="eastAsia" w:ascii="宋体"/>
                <w:sz w:val="24"/>
                <w:szCs w:val="24"/>
              </w:rPr>
            </w:pPr>
          </w:p>
        </w:tc>
        <w:tc>
          <w:tcPr>
            <w:tcW w:w="1845" w:type="dxa"/>
            <w:shd w:val="clear" w:color="auto" w:fill="auto"/>
            <w:vAlign w:val="center"/>
          </w:tcPr>
          <w:p w14:paraId="0AF8DF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5100" w:type="dxa"/>
            <w:shd w:val="clear" w:color="auto" w:fill="auto"/>
            <w:vAlign w:val="center"/>
          </w:tcPr>
          <w:p w14:paraId="19667B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36DC78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5331F870">
            <w:pPr>
              <w:jc w:val="left"/>
              <w:rPr>
                <w:rFonts w:hint="eastAsia" w:ascii="宋体"/>
                <w:sz w:val="24"/>
                <w:szCs w:val="24"/>
              </w:rPr>
            </w:pPr>
          </w:p>
        </w:tc>
        <w:tc>
          <w:tcPr>
            <w:tcW w:w="1695" w:type="dxa"/>
            <w:vMerge w:val="continue"/>
            <w:shd w:val="clear" w:color="auto" w:fill="auto"/>
            <w:vAlign w:val="center"/>
          </w:tcPr>
          <w:p w14:paraId="3BFEC72D">
            <w:pPr>
              <w:jc w:val="left"/>
              <w:rPr>
                <w:rFonts w:hint="eastAsia" w:ascii="宋体"/>
                <w:sz w:val="24"/>
                <w:szCs w:val="24"/>
              </w:rPr>
            </w:pPr>
          </w:p>
        </w:tc>
        <w:tc>
          <w:tcPr>
            <w:tcW w:w="1845" w:type="dxa"/>
            <w:shd w:val="clear" w:color="auto" w:fill="auto"/>
            <w:vAlign w:val="center"/>
          </w:tcPr>
          <w:p w14:paraId="1E8DC7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5100" w:type="dxa"/>
            <w:shd w:val="clear" w:color="auto" w:fill="auto"/>
            <w:vAlign w:val="center"/>
          </w:tcPr>
          <w:p w14:paraId="5B6A3B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744003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96" w:hRule="atLeast"/>
          <w:tblCellSpacing w:w="0" w:type="dxa"/>
        </w:trPr>
        <w:tc>
          <w:tcPr>
            <w:tcW w:w="1560" w:type="dxa"/>
            <w:vMerge w:val="continue"/>
            <w:shd w:val="clear" w:color="auto" w:fill="auto"/>
            <w:vAlign w:val="center"/>
          </w:tcPr>
          <w:p w14:paraId="0371E7A2">
            <w:pPr>
              <w:jc w:val="left"/>
              <w:rPr>
                <w:rFonts w:hint="eastAsia" w:ascii="宋体"/>
                <w:sz w:val="24"/>
                <w:szCs w:val="24"/>
              </w:rPr>
            </w:pPr>
          </w:p>
        </w:tc>
        <w:tc>
          <w:tcPr>
            <w:tcW w:w="1695" w:type="dxa"/>
            <w:vMerge w:val="continue"/>
            <w:shd w:val="clear" w:color="auto" w:fill="auto"/>
            <w:vAlign w:val="center"/>
          </w:tcPr>
          <w:p w14:paraId="11958897">
            <w:pPr>
              <w:jc w:val="left"/>
              <w:rPr>
                <w:rFonts w:hint="eastAsia" w:ascii="宋体"/>
                <w:sz w:val="24"/>
                <w:szCs w:val="24"/>
              </w:rPr>
            </w:pPr>
          </w:p>
        </w:tc>
        <w:tc>
          <w:tcPr>
            <w:tcW w:w="1845" w:type="dxa"/>
            <w:vMerge w:val="restart"/>
            <w:shd w:val="clear" w:color="auto" w:fill="auto"/>
            <w:vAlign w:val="center"/>
          </w:tcPr>
          <w:p w14:paraId="63DFA4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5100" w:type="dxa"/>
            <w:shd w:val="clear" w:color="auto" w:fill="auto"/>
            <w:vAlign w:val="center"/>
          </w:tcPr>
          <w:p w14:paraId="30A268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RF port</w:t>
            </w:r>
          </w:p>
        </w:tc>
      </w:tr>
      <w:tr w14:paraId="5910E3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50" w:hRule="atLeast"/>
          <w:tblCellSpacing w:w="0" w:type="dxa"/>
        </w:trPr>
        <w:tc>
          <w:tcPr>
            <w:tcW w:w="1560" w:type="dxa"/>
            <w:vMerge w:val="continue"/>
            <w:shd w:val="clear" w:color="auto" w:fill="auto"/>
            <w:vAlign w:val="center"/>
          </w:tcPr>
          <w:p w14:paraId="40816B87">
            <w:pPr>
              <w:jc w:val="left"/>
              <w:rPr>
                <w:rFonts w:hint="eastAsia" w:ascii="宋体"/>
                <w:sz w:val="24"/>
                <w:szCs w:val="24"/>
              </w:rPr>
            </w:pPr>
          </w:p>
        </w:tc>
        <w:tc>
          <w:tcPr>
            <w:tcW w:w="1695" w:type="dxa"/>
            <w:vMerge w:val="continue"/>
            <w:shd w:val="clear" w:color="auto" w:fill="auto"/>
            <w:vAlign w:val="center"/>
          </w:tcPr>
          <w:p w14:paraId="2D0C745E">
            <w:pPr>
              <w:jc w:val="left"/>
              <w:rPr>
                <w:rFonts w:hint="eastAsia" w:ascii="宋体"/>
                <w:sz w:val="24"/>
                <w:szCs w:val="24"/>
              </w:rPr>
            </w:pPr>
          </w:p>
        </w:tc>
        <w:tc>
          <w:tcPr>
            <w:tcW w:w="1845" w:type="dxa"/>
            <w:vMerge w:val="continue"/>
            <w:shd w:val="clear" w:color="auto" w:fill="auto"/>
            <w:vAlign w:val="center"/>
          </w:tcPr>
          <w:p w14:paraId="6B0C5D8E">
            <w:pPr>
              <w:jc w:val="left"/>
              <w:rPr>
                <w:rFonts w:hint="eastAsia" w:ascii="宋体"/>
                <w:sz w:val="24"/>
                <w:szCs w:val="24"/>
              </w:rPr>
            </w:pPr>
          </w:p>
        </w:tc>
        <w:tc>
          <w:tcPr>
            <w:tcW w:w="5100" w:type="dxa"/>
            <w:shd w:val="clear" w:color="auto" w:fill="auto"/>
            <w:vAlign w:val="center"/>
          </w:tcPr>
          <w:p w14:paraId="38BDC7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4*DVB-T non-adjacent carriers combined output , 40M total bandwidth limitation</w:t>
            </w:r>
          </w:p>
        </w:tc>
      </w:tr>
      <w:tr w14:paraId="658D39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560" w:type="dxa"/>
            <w:vMerge w:val="continue"/>
            <w:shd w:val="clear" w:color="auto" w:fill="auto"/>
            <w:vAlign w:val="center"/>
          </w:tcPr>
          <w:p w14:paraId="3BDFE8AE">
            <w:pPr>
              <w:jc w:val="left"/>
              <w:rPr>
                <w:rFonts w:hint="eastAsia" w:ascii="宋体"/>
                <w:sz w:val="24"/>
                <w:szCs w:val="24"/>
              </w:rPr>
            </w:pPr>
          </w:p>
        </w:tc>
        <w:tc>
          <w:tcPr>
            <w:tcW w:w="1695" w:type="dxa"/>
            <w:vMerge w:val="continue"/>
            <w:shd w:val="clear" w:color="auto" w:fill="auto"/>
            <w:vAlign w:val="center"/>
          </w:tcPr>
          <w:p w14:paraId="67ABB70A">
            <w:pPr>
              <w:jc w:val="left"/>
              <w:rPr>
                <w:rFonts w:hint="eastAsia" w:ascii="宋体"/>
                <w:sz w:val="24"/>
                <w:szCs w:val="24"/>
              </w:rPr>
            </w:pPr>
          </w:p>
        </w:tc>
        <w:tc>
          <w:tcPr>
            <w:tcW w:w="1845" w:type="dxa"/>
            <w:shd w:val="clear" w:color="auto" w:fill="auto"/>
            <w:vAlign w:val="center"/>
          </w:tcPr>
          <w:p w14:paraId="2C617D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5100" w:type="dxa"/>
            <w:shd w:val="clear" w:color="auto" w:fill="auto"/>
            <w:vAlign w:val="center"/>
          </w:tcPr>
          <w:p w14:paraId="3DE420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-28~ -3 dBm, 0.1db step</w:t>
            </w:r>
          </w:p>
        </w:tc>
      </w:tr>
      <w:tr w14:paraId="42737B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560" w:type="dxa"/>
            <w:shd w:val="clear" w:color="auto" w:fill="auto"/>
            <w:vAlign w:val="center"/>
          </w:tcPr>
          <w:p w14:paraId="02111D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w:t>
            </w:r>
          </w:p>
        </w:tc>
        <w:tc>
          <w:tcPr>
            <w:tcW w:w="8640" w:type="dxa"/>
            <w:gridSpan w:val="3"/>
            <w:shd w:val="clear" w:color="auto" w:fill="auto"/>
            <w:vAlign w:val="center"/>
          </w:tcPr>
          <w:p w14:paraId="36DAD7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4*MPTS over UDP and RTP out (RJ45, 1000M/100M Unicast/Multicast)</w:t>
            </w:r>
          </w:p>
        </w:tc>
      </w:tr>
      <w:tr w14:paraId="1D4A99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560" w:type="dxa"/>
            <w:vMerge w:val="restart"/>
            <w:shd w:val="clear" w:color="auto" w:fill="auto"/>
            <w:vAlign w:val="center"/>
          </w:tcPr>
          <w:p w14:paraId="189C45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8640" w:type="dxa"/>
            <w:gridSpan w:val="3"/>
            <w:shd w:val="clear" w:color="auto" w:fill="auto"/>
            <w:vAlign w:val="center"/>
          </w:tcPr>
          <w:p w14:paraId="1192B0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LCD/Keyboard operating and web-based NMS support</w:t>
            </w:r>
          </w:p>
        </w:tc>
      </w:tr>
      <w:tr w14:paraId="1A45CE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3BF5804F">
            <w:pPr>
              <w:jc w:val="left"/>
              <w:rPr>
                <w:rFonts w:hint="eastAsia" w:ascii="宋体"/>
                <w:sz w:val="24"/>
                <w:szCs w:val="24"/>
              </w:rPr>
            </w:pPr>
          </w:p>
        </w:tc>
        <w:tc>
          <w:tcPr>
            <w:tcW w:w="8640" w:type="dxa"/>
            <w:gridSpan w:val="3"/>
            <w:shd w:val="clear" w:color="auto" w:fill="auto"/>
            <w:vAlign w:val="center"/>
          </w:tcPr>
          <w:p w14:paraId="04901D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upgrading</w:t>
            </w:r>
          </w:p>
        </w:tc>
      </w:tr>
      <w:tr w14:paraId="7A4076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560" w:type="dxa"/>
            <w:vMerge w:val="restart"/>
            <w:shd w:val="clear" w:color="auto" w:fill="auto"/>
            <w:vAlign w:val="center"/>
          </w:tcPr>
          <w:p w14:paraId="6F0ABE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1695" w:type="dxa"/>
            <w:shd w:val="clear" w:color="auto" w:fill="auto"/>
            <w:vAlign w:val="center"/>
          </w:tcPr>
          <w:p w14:paraId="0EA178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t>
            </w:r>
          </w:p>
          <w:p w14:paraId="70482A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(W*D*H)</w:t>
            </w:r>
          </w:p>
        </w:tc>
        <w:tc>
          <w:tcPr>
            <w:tcW w:w="6945" w:type="dxa"/>
            <w:gridSpan w:val="2"/>
            <w:shd w:val="clear" w:color="auto" w:fill="auto"/>
            <w:vAlign w:val="center"/>
          </w:tcPr>
          <w:p w14:paraId="32B6E9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482mm×300mm×44.5mm</w:t>
            </w:r>
          </w:p>
        </w:tc>
      </w:tr>
      <w:tr w14:paraId="3A9776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560" w:type="dxa"/>
            <w:vMerge w:val="continue"/>
            <w:shd w:val="clear" w:color="auto" w:fill="auto"/>
            <w:vAlign w:val="center"/>
          </w:tcPr>
          <w:p w14:paraId="13410244">
            <w:pPr>
              <w:jc w:val="left"/>
              <w:rPr>
                <w:rFonts w:hint="eastAsia" w:ascii="宋体"/>
                <w:sz w:val="24"/>
                <w:szCs w:val="24"/>
              </w:rPr>
            </w:pPr>
          </w:p>
        </w:tc>
        <w:tc>
          <w:tcPr>
            <w:tcW w:w="1695" w:type="dxa"/>
            <w:shd w:val="clear" w:color="auto" w:fill="auto"/>
            <w:vAlign w:val="center"/>
          </w:tcPr>
          <w:p w14:paraId="28001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6945" w:type="dxa"/>
            <w:gridSpan w:val="2"/>
            <w:shd w:val="clear" w:color="auto" w:fill="auto"/>
            <w:vAlign w:val="center"/>
          </w:tcPr>
          <w:p w14:paraId="74134E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 -20~80℃(Storage)</w:t>
            </w:r>
          </w:p>
        </w:tc>
      </w:tr>
      <w:tr w14:paraId="074EB9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3A7A71F">
            <w:pPr>
              <w:jc w:val="left"/>
              <w:rPr>
                <w:rFonts w:hint="eastAsia" w:ascii="宋体"/>
                <w:sz w:val="24"/>
                <w:szCs w:val="24"/>
              </w:rPr>
            </w:pPr>
          </w:p>
        </w:tc>
        <w:tc>
          <w:tcPr>
            <w:tcW w:w="1695" w:type="dxa"/>
            <w:shd w:val="clear" w:color="auto" w:fill="auto"/>
            <w:vAlign w:val="center"/>
          </w:tcPr>
          <w:p w14:paraId="207545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6945" w:type="dxa"/>
            <w:gridSpan w:val="2"/>
            <w:shd w:val="clear" w:color="auto" w:fill="auto"/>
            <w:vAlign w:val="center"/>
          </w:tcPr>
          <w:p w14:paraId="72D6F9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100V±1050/60Hz; AC 220V±10%, 50/60HZ</w:t>
            </w:r>
          </w:p>
        </w:tc>
      </w:tr>
    </w:tbl>
    <w:p w14:paraId="1CF1FF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EA7D21B">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1BA9E34B">
      <w:pPr>
        <w:rPr>
          <w:rFonts w:hint="default" w:ascii="Verdana" w:hAnsi="Verdana" w:cs="Verdana"/>
          <w:b w:val="0"/>
          <w:i w:val="0"/>
          <w:strike w:val="0"/>
          <w:color w:val="000000"/>
          <w:sz w:val="28"/>
          <w:lang w:val="en-US" w:eastAsia="zh-CN"/>
        </w:rPr>
      </w:pPr>
    </w:p>
    <w:p w14:paraId="17D70A4D">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175DFF2">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479CA87">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9AE3EC7">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5BF0A5B"/>
    <w:rsid w:val="08486142"/>
    <w:rsid w:val="0A680B1B"/>
    <w:rsid w:val="0E714EC9"/>
    <w:rsid w:val="0FC87CEA"/>
    <w:rsid w:val="101C4557"/>
    <w:rsid w:val="15C25510"/>
    <w:rsid w:val="18AE427D"/>
    <w:rsid w:val="18E81EA3"/>
    <w:rsid w:val="19DA115A"/>
    <w:rsid w:val="1B974A15"/>
    <w:rsid w:val="1CDC4CA0"/>
    <w:rsid w:val="1FCC39C5"/>
    <w:rsid w:val="20F61905"/>
    <w:rsid w:val="2199682E"/>
    <w:rsid w:val="239E3C7B"/>
    <w:rsid w:val="25CF44CE"/>
    <w:rsid w:val="271A54B0"/>
    <w:rsid w:val="27B55639"/>
    <w:rsid w:val="29822030"/>
    <w:rsid w:val="2A752F8B"/>
    <w:rsid w:val="2C665CEA"/>
    <w:rsid w:val="2C8B3A86"/>
    <w:rsid w:val="2DF3522B"/>
    <w:rsid w:val="2E0F6BE8"/>
    <w:rsid w:val="2F841F63"/>
    <w:rsid w:val="314F3E41"/>
    <w:rsid w:val="31FE2D24"/>
    <w:rsid w:val="3B533162"/>
    <w:rsid w:val="45872050"/>
    <w:rsid w:val="478E224E"/>
    <w:rsid w:val="47A91659"/>
    <w:rsid w:val="485E04E5"/>
    <w:rsid w:val="487316FE"/>
    <w:rsid w:val="48F32959"/>
    <w:rsid w:val="49B75FAC"/>
    <w:rsid w:val="4E4A4BF6"/>
    <w:rsid w:val="4F8D25ED"/>
    <w:rsid w:val="51AD130D"/>
    <w:rsid w:val="540A3FAB"/>
    <w:rsid w:val="562E484B"/>
    <w:rsid w:val="56834992"/>
    <w:rsid w:val="5930748A"/>
    <w:rsid w:val="59933671"/>
    <w:rsid w:val="5AA83521"/>
    <w:rsid w:val="5D314F46"/>
    <w:rsid w:val="5EEA5249"/>
    <w:rsid w:val="5F5676C2"/>
    <w:rsid w:val="609213A6"/>
    <w:rsid w:val="61BA6334"/>
    <w:rsid w:val="63C27F07"/>
    <w:rsid w:val="643F5854"/>
    <w:rsid w:val="68AD6386"/>
    <w:rsid w:val="6D7A6503"/>
    <w:rsid w:val="70757613"/>
    <w:rsid w:val="70B756B4"/>
    <w:rsid w:val="71B76545"/>
    <w:rsid w:val="73270F88"/>
    <w:rsid w:val="74455F31"/>
    <w:rsid w:val="7540100C"/>
    <w:rsid w:val="75677888"/>
    <w:rsid w:val="77935A18"/>
    <w:rsid w:val="7B8E7427"/>
    <w:rsid w:val="7E621FB1"/>
    <w:rsid w:val="7EAD1F59"/>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04A/3EEECN_2018042310473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261</Words>
  <Characters>1603</Characters>
  <Lines>4</Lines>
  <Paragraphs>1</Paragraphs>
  <TotalTime>0</TotalTime>
  <ScaleCrop>false</ScaleCrop>
  <LinksUpToDate>false</LinksUpToDate>
  <CharactersWithSpaces>1835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2026-08-11T07:07:20Z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