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F97F5">
      <w:pPr>
        <w:pStyle w:val="6"/>
        <w:widowControl/>
        <w:spacing w:beforeAutospacing="0" w:afterAutospacing="0" w:line="324" w:lineRule="atLeast"/>
        <w:jc w:val="center"/>
        <w:rPr>
          <w:rFonts w:hint="eastAsia" w:ascii="Verdana" w:hAnsi="Verdana" w:cs="Verdana"/>
          <w:b/>
          <w:i w:val="0"/>
          <w:strike w:val="0"/>
          <w:color w:val="000000"/>
          <w:sz w:val="28"/>
          <w:lang w:eastAsia="zh-CN"/>
        </w:rPr>
      </w:pPr>
      <w:r>
        <w:rPr>
          <w:rFonts w:hint="eastAsia" w:ascii="Verdana" w:hAnsi="Verdana" w:cs="Verdana"/>
          <w:b/>
          <w:i w:val="0"/>
          <w:strike w:val="0"/>
          <w:color w:val="000000"/>
          <w:sz w:val="28"/>
          <w:lang w:eastAsia="zh-CN"/>
        </w:rPr>
        <w:t>FMUSER FUQ-4417J ISDB-T Modulator 24-48 Channels IP to RF Conversion 1024 IP Input ARIB STD-B31 Web-Based NMS Digital TV Broadcast Systems</w:t>
      </w:r>
    </w:p>
    <w:p w14:paraId="2F0637B8">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5012690" cy="2209800"/>
            <wp:effectExtent l="0" t="0" r="0" b="0"/>
            <wp:docPr id="1" name="图片 1" descr="3EEECN_20240712151437"/>
            <wp:cNvGraphicFramePr/>
            <a:graphic xmlns:a="http://schemas.openxmlformats.org/drawingml/2006/main">
              <a:graphicData uri="http://schemas.openxmlformats.org/drawingml/2006/picture">
                <pic:pic xmlns:pic="http://schemas.openxmlformats.org/drawingml/2006/picture">
                  <pic:nvPicPr>
                    <pic:cNvPr id="1" name="图片 1" descr="3EEECN_20240712151437"/>
                    <pic:cNvPicPr/>
                  </pic:nvPicPr>
                  <pic:blipFill>
                    <a:blip r:embed="rId6"/>
                    <a:stretch>
                      <a:fillRect/>
                    </a:stretch>
                  </pic:blipFill>
                  <pic:spPr>
                    <a:xfrm>
                      <a:off x="0" y="0"/>
                      <a:ext cx="5012690" cy="2209800"/>
                    </a:xfrm>
                    <a:prstGeom prst="rect">
                      <a:avLst/>
                    </a:prstGeom>
                  </pic:spPr>
                </pic:pic>
              </a:graphicData>
            </a:graphic>
          </wp:inline>
        </w:drawing>
      </w:r>
      <w:bookmarkStart w:id="3" w:name="_GoBack"/>
      <w:r>
        <w:rPr>
          <w:rFonts w:ascii="Verdana" w:hAnsi="Verdana" w:cs="Verdana"/>
          <w:color w:val="333333"/>
          <w:sz w:val="18"/>
          <w:szCs w:val="18"/>
          <w:shd w:val="clear" w:color="auto" w:fill="FEFCFD"/>
        </w:rPr>
        <w:drawing>
          <wp:inline distT="0" distB="0" distL="114300" distR="114300">
            <wp:extent cx="6182360" cy="4712335"/>
            <wp:effectExtent l="0" t="0" r="8890" b="1206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2360" cy="4712335"/>
                    </a:xfrm>
                    <a:prstGeom prst="rect">
                      <a:avLst/>
                    </a:prstGeom>
                    <a:noFill/>
                    <a:ln w="9525">
                      <a:noFill/>
                    </a:ln>
                  </pic:spPr>
                </pic:pic>
              </a:graphicData>
            </a:graphic>
          </wp:inline>
        </w:drawing>
      </w:r>
      <w:bookmarkEnd w:id="3"/>
    </w:p>
    <w:p w14:paraId="23DAB555">
      <w:pPr>
        <w:pStyle w:val="6"/>
        <w:widowControl/>
        <w:spacing w:beforeAutospacing="0" w:afterAutospacing="0" w:line="324" w:lineRule="atLeast"/>
        <w:jc w:val="left"/>
      </w:pPr>
      <w:r>
        <w:rPr>
          <w:rStyle w:val="10"/>
          <w:rFonts w:ascii="Verdana" w:hAnsi="Verdana" w:cs="Verdana"/>
          <w:color w:val="FF8C00"/>
          <w:sz w:val="18"/>
          <w:szCs w:val="18"/>
          <w:shd w:val="clear" w:color="auto" w:fill="FEFCFD"/>
        </w:rPr>
        <w:t>Product Overview</w:t>
      </w:r>
    </w:p>
    <w:p w14:paraId="4D98B060">
      <w:pPr>
        <w:pStyle w:val="6"/>
        <w:widowControl/>
        <w:spacing w:beforeAutospacing="0" w:afterAutospacing="0" w:line="324" w:lineRule="atLeast"/>
        <w:jc w:val="left"/>
      </w:pPr>
      <w:r>
        <w:rPr>
          <w:rFonts w:hint="eastAsia" w:ascii="Verdana" w:hAnsi="Verdana" w:cs="Verdana"/>
          <w:color w:val="333333"/>
          <w:sz w:val="18"/>
          <w:szCs w:val="18"/>
          <w:shd w:val="clear" w:color="auto" w:fill="FEFCFD"/>
          <w:lang w:eastAsia="zh-CN"/>
        </w:rPr>
        <w:t>The FMUSER FUQ-4417J is a high-density ISDB-T modulator converting IP streams to 24/48 RF carriers (50-960MHz) through 4xRJ45 and 2xSFP ports. It processes transport streams with PID remapping and PCR correction, featuring web-based control and 1U rack-mount design. Ideal for digital TV headends, cable network upgrades, and multiscreen distribution systems requiring simultaneous RF/IP output.</w:t>
      </w:r>
      <w:r>
        <w:rPr>
          <w:rFonts w:ascii="Verdana" w:hAnsi="Verdana" w:cs="Verdana"/>
          <w:color w:val="333333"/>
          <w:sz w:val="18"/>
          <w:szCs w:val="18"/>
          <w:shd w:val="clear" w:color="auto" w:fill="FEFCFD"/>
        </w:rPr>
        <w:t> </w:t>
      </w:r>
    </w:p>
    <w:p w14:paraId="3664AD3C">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038F6ED8">
      <w:pPr>
        <w:pStyle w:val="6"/>
        <w:widowControl/>
        <w:spacing w:beforeAutospacing="0" w:afterAutospacing="0" w:line="324" w:lineRule="atLeast"/>
        <w:jc w:val="left"/>
      </w:pPr>
      <w:r>
        <w:rPr>
          <w:rFonts w:hint="eastAsia" w:ascii="Verdana" w:hAnsi="Verdana" w:cs="Verdana"/>
          <w:color w:val="333333"/>
          <w:sz w:val="18"/>
          <w:szCs w:val="18"/>
          <w:shd w:val="clear" w:color="auto" w:fill="FEFCFD"/>
        </w:rPr>
        <w:t>Centralized management via web-based NMS with real-time monitoring</w:t>
      </w:r>
      <w:r>
        <w:rPr>
          <w:rFonts w:ascii="Verdana" w:hAnsi="Verdana" w:cs="Verdana"/>
          <w:color w:val="333333"/>
          <w:sz w:val="18"/>
          <w:szCs w:val="18"/>
          <w:shd w:val="clear" w:color="auto" w:fill="FEFCFD"/>
        </w:rPr>
        <w:t> </w:t>
      </w:r>
    </w:p>
    <w:p w14:paraId="4C98DACA">
      <w:pPr>
        <w:pStyle w:val="6"/>
        <w:widowControl/>
        <w:spacing w:beforeAutospacing="0" w:afterAutospacing="0" w:line="324" w:lineRule="atLeast"/>
        <w:jc w:val="left"/>
      </w:pPr>
      <w:r>
        <w:rPr>
          <w:rStyle w:val="10"/>
          <w:rFonts w:ascii="Verdana" w:hAnsi="Verdana" w:cs="Verdana"/>
          <w:color w:val="FF8C00"/>
          <w:sz w:val="18"/>
          <w:szCs w:val="18"/>
          <w:shd w:val="clear" w:color="auto" w:fill="FEFCFD"/>
        </w:rPr>
        <w:t>Inner Principle Chart</w:t>
      </w:r>
      <w:r>
        <w:rPr>
          <w:rFonts w:ascii="Verdana" w:hAnsi="Verdana" w:cs="Verdana"/>
          <w:color w:val="333333"/>
          <w:sz w:val="18"/>
          <w:szCs w:val="18"/>
          <w:shd w:val="clear" w:color="auto" w:fill="FEFCFD"/>
        </w:rPr>
        <w:t> - </w:t>
      </w:r>
      <w:r>
        <w:rPr>
          <w:rStyle w:val="10"/>
          <w:rFonts w:ascii="Verdana" w:hAnsi="Verdana" w:cs="Verdana"/>
          <w:color w:val="333333"/>
          <w:sz w:val="18"/>
          <w:szCs w:val="18"/>
          <w:shd w:val="clear" w:color="auto" w:fill="FEFCFD"/>
        </w:rPr>
        <w:t>(24 carriers out per daughter card):</w:t>
      </w:r>
    </w:p>
    <w:p w14:paraId="0B8BB6D0">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85535" cy="1824990"/>
            <wp:effectExtent l="0" t="0" r="5715" b="381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5535" cy="1824990"/>
                    </a:xfrm>
                    <a:prstGeom prst="rect">
                      <a:avLst/>
                    </a:prstGeom>
                    <a:noFill/>
                    <a:ln w="9525">
                      <a:noFill/>
                    </a:ln>
                  </pic:spPr>
                </pic:pic>
              </a:graphicData>
            </a:graphic>
          </wp:inline>
        </w:drawing>
      </w:r>
    </w:p>
    <w:p w14:paraId="3ADD99E6">
      <w:pPr>
        <w:pStyle w:val="6"/>
        <w:widowControl/>
        <w:spacing w:beforeAutospacing="0" w:afterAutospacing="0" w:line="324" w:lineRule="atLeast"/>
        <w:jc w:val="left"/>
      </w:pPr>
      <w:r>
        <w:rPr>
          <w:rStyle w:val="10"/>
          <w:rFonts w:ascii="Verdana" w:hAnsi="Verdana" w:cs="Verdana"/>
          <w:color w:val="FF8C00"/>
          <w:sz w:val="18"/>
          <w:szCs w:val="18"/>
          <w:shd w:val="clear" w:color="auto" w:fill="FEFCFD"/>
        </w:rPr>
        <w:t>Carrier Setting Illustration</w:t>
      </w:r>
    </w:p>
    <w:p w14:paraId="01876D69">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83630" cy="2482215"/>
            <wp:effectExtent l="0" t="0" r="7620" b="13335"/>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3630" cy="2482215"/>
                    </a:xfrm>
                    <a:prstGeom prst="rect">
                      <a:avLst/>
                    </a:prstGeom>
                    <a:noFill/>
                    <a:ln w="9525">
                      <a:noFill/>
                    </a:ln>
                  </pic:spPr>
                </pic:pic>
              </a:graphicData>
            </a:graphic>
          </wp:inline>
        </w:drawing>
      </w:r>
    </w:p>
    <w:p w14:paraId="411C4419">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 </w:t>
      </w:r>
    </w:p>
    <w:p w14:paraId="5DF848FF">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B912EB0">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03"/>
        <w:gridCol w:w="1598"/>
        <w:gridCol w:w="6949"/>
      </w:tblGrid>
      <w:tr w14:paraId="0918A6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6454A95">
            <w:pPr>
              <w:pStyle w:val="6"/>
              <w:widowControl/>
              <w:spacing w:beforeAutospacing="0" w:afterAutospacing="0" w:line="324" w:lineRule="atLeast"/>
            </w:pPr>
            <w:r>
              <w:t>Input</w:t>
            </w:r>
          </w:p>
        </w:tc>
        <w:tc>
          <w:tcPr>
            <w:tcW w:w="0" w:type="auto"/>
            <w:shd w:val="clear" w:color="auto" w:fill="auto"/>
            <w:vAlign w:val="center"/>
          </w:tcPr>
          <w:p w14:paraId="6748F989">
            <w:pPr>
              <w:pStyle w:val="6"/>
              <w:widowControl/>
              <w:spacing w:beforeAutospacing="0" w:afterAutospacing="0" w:line="324" w:lineRule="atLeast"/>
            </w:pPr>
            <w:r>
              <w:t>Input</w:t>
            </w:r>
          </w:p>
        </w:tc>
        <w:tc>
          <w:tcPr>
            <w:tcW w:w="0" w:type="auto"/>
            <w:shd w:val="clear" w:color="auto" w:fill="auto"/>
            <w:vAlign w:val="center"/>
          </w:tcPr>
          <w:p w14:paraId="5BBD1A64">
            <w:pPr>
              <w:pStyle w:val="6"/>
              <w:widowControl/>
              <w:spacing w:beforeAutospacing="0" w:afterAutospacing="0" w:line="324" w:lineRule="atLeast"/>
            </w:pPr>
            <w:r>
              <w:t>Max 1024 IP input through data ports 1 &amp; 2， 100/1000M Ethernet Ports per daughter card (RJ45 and SFP interface alternative)</w:t>
            </w:r>
          </w:p>
        </w:tc>
      </w:tr>
      <w:tr w14:paraId="23727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883359">
            <w:pPr>
              <w:jc w:val="left"/>
              <w:rPr>
                <w:rFonts w:ascii="宋体"/>
                <w:sz w:val="24"/>
                <w:szCs w:val="24"/>
              </w:rPr>
            </w:pPr>
          </w:p>
        </w:tc>
        <w:tc>
          <w:tcPr>
            <w:tcW w:w="0" w:type="auto"/>
            <w:shd w:val="clear" w:color="auto" w:fill="auto"/>
            <w:vAlign w:val="center"/>
          </w:tcPr>
          <w:p w14:paraId="028DA231">
            <w:pPr>
              <w:pStyle w:val="6"/>
              <w:widowControl/>
              <w:spacing w:beforeAutospacing="0" w:afterAutospacing="0" w:line="324" w:lineRule="atLeast"/>
            </w:pPr>
            <w:r>
              <w:t>Transport Protocol</w:t>
            </w:r>
          </w:p>
        </w:tc>
        <w:tc>
          <w:tcPr>
            <w:tcW w:w="0" w:type="auto"/>
            <w:shd w:val="clear" w:color="auto" w:fill="auto"/>
            <w:vAlign w:val="center"/>
          </w:tcPr>
          <w:p w14:paraId="7B7E8982">
            <w:pPr>
              <w:pStyle w:val="6"/>
              <w:widowControl/>
              <w:spacing w:beforeAutospacing="0" w:afterAutospacing="0" w:line="324" w:lineRule="atLeast"/>
            </w:pPr>
            <w:r>
              <w:t>TS over UDP/RTP, unicast and multicast, IGMP V2/V3</w:t>
            </w:r>
          </w:p>
        </w:tc>
      </w:tr>
      <w:tr w14:paraId="3EBA92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3B6A83">
            <w:pPr>
              <w:jc w:val="left"/>
              <w:rPr>
                <w:rFonts w:ascii="宋体"/>
                <w:sz w:val="24"/>
                <w:szCs w:val="24"/>
              </w:rPr>
            </w:pPr>
          </w:p>
        </w:tc>
        <w:tc>
          <w:tcPr>
            <w:tcW w:w="0" w:type="auto"/>
            <w:shd w:val="clear" w:color="auto" w:fill="auto"/>
            <w:vAlign w:val="center"/>
          </w:tcPr>
          <w:p w14:paraId="2D334CC1">
            <w:pPr>
              <w:pStyle w:val="6"/>
              <w:widowControl/>
              <w:spacing w:beforeAutospacing="0" w:afterAutospacing="0" w:line="324" w:lineRule="atLeast"/>
            </w:pPr>
            <w:r>
              <w:t>Transmission Rate</w:t>
            </w:r>
          </w:p>
        </w:tc>
        <w:tc>
          <w:tcPr>
            <w:tcW w:w="0" w:type="auto"/>
            <w:shd w:val="clear" w:color="auto" w:fill="auto"/>
            <w:vAlign w:val="center"/>
          </w:tcPr>
          <w:p w14:paraId="51C5B94E">
            <w:pPr>
              <w:pStyle w:val="6"/>
              <w:widowControl/>
              <w:spacing w:beforeAutospacing="0" w:afterAutospacing="0" w:line="324" w:lineRule="atLeast"/>
            </w:pPr>
            <w:r>
              <w:t>Max 840Mbps for each GE input</w:t>
            </w:r>
          </w:p>
        </w:tc>
      </w:tr>
      <w:tr w14:paraId="468434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88DCAFD">
            <w:pPr>
              <w:pStyle w:val="6"/>
              <w:widowControl/>
              <w:spacing w:beforeAutospacing="0" w:afterAutospacing="0" w:line="324" w:lineRule="atLeast"/>
            </w:pPr>
            <w:r>
              <w:t>Mux</w:t>
            </w:r>
          </w:p>
        </w:tc>
        <w:tc>
          <w:tcPr>
            <w:tcW w:w="0" w:type="auto"/>
            <w:shd w:val="clear" w:color="auto" w:fill="auto"/>
            <w:vAlign w:val="center"/>
          </w:tcPr>
          <w:p w14:paraId="0EDF090C">
            <w:pPr>
              <w:pStyle w:val="6"/>
              <w:widowControl/>
              <w:spacing w:beforeAutospacing="0" w:afterAutospacing="0" w:line="324" w:lineRule="atLeast"/>
            </w:pPr>
            <w:r>
              <w:t>Input Channel</w:t>
            </w:r>
          </w:p>
        </w:tc>
        <w:tc>
          <w:tcPr>
            <w:tcW w:w="0" w:type="auto"/>
            <w:shd w:val="clear" w:color="auto" w:fill="auto"/>
            <w:vAlign w:val="center"/>
          </w:tcPr>
          <w:p w14:paraId="56E76FD0">
            <w:pPr>
              <w:pStyle w:val="6"/>
              <w:widowControl/>
              <w:spacing w:beforeAutospacing="0" w:afterAutospacing="0" w:line="324" w:lineRule="atLeast"/>
            </w:pPr>
            <w:r>
              <w:t>1024 IP streams</w:t>
            </w:r>
          </w:p>
        </w:tc>
      </w:tr>
      <w:tr w14:paraId="1D2A44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19D4958">
            <w:pPr>
              <w:jc w:val="left"/>
              <w:rPr>
                <w:rFonts w:ascii="宋体"/>
                <w:sz w:val="24"/>
                <w:szCs w:val="24"/>
              </w:rPr>
            </w:pPr>
          </w:p>
        </w:tc>
        <w:tc>
          <w:tcPr>
            <w:tcW w:w="0" w:type="auto"/>
            <w:shd w:val="clear" w:color="auto" w:fill="auto"/>
            <w:vAlign w:val="center"/>
          </w:tcPr>
          <w:p w14:paraId="0B1C5D18">
            <w:pPr>
              <w:pStyle w:val="6"/>
              <w:widowControl/>
              <w:spacing w:beforeAutospacing="0" w:afterAutospacing="0" w:line="324" w:lineRule="atLeast"/>
            </w:pPr>
            <w:r>
              <w:t>Output Channel</w:t>
            </w:r>
          </w:p>
        </w:tc>
        <w:tc>
          <w:tcPr>
            <w:tcW w:w="0" w:type="auto"/>
            <w:shd w:val="clear" w:color="auto" w:fill="auto"/>
            <w:vAlign w:val="center"/>
          </w:tcPr>
          <w:p w14:paraId="63747645">
            <w:pPr>
              <w:pStyle w:val="6"/>
              <w:widowControl/>
              <w:spacing w:beforeAutospacing="0" w:afterAutospacing="0" w:line="324" w:lineRule="atLeast"/>
            </w:pPr>
            <w:r>
              <w:t>24 (or 48)</w:t>
            </w:r>
          </w:p>
        </w:tc>
      </w:tr>
      <w:tr w14:paraId="4D9960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0FEEE0">
            <w:pPr>
              <w:jc w:val="left"/>
              <w:rPr>
                <w:rFonts w:ascii="宋体"/>
                <w:sz w:val="24"/>
                <w:szCs w:val="24"/>
              </w:rPr>
            </w:pPr>
          </w:p>
        </w:tc>
        <w:tc>
          <w:tcPr>
            <w:tcW w:w="0" w:type="auto"/>
            <w:shd w:val="clear" w:color="auto" w:fill="auto"/>
            <w:vAlign w:val="center"/>
          </w:tcPr>
          <w:p w14:paraId="03FB4369">
            <w:pPr>
              <w:pStyle w:val="6"/>
              <w:widowControl/>
              <w:spacing w:beforeAutospacing="0" w:afterAutospacing="0" w:line="324" w:lineRule="atLeast"/>
            </w:pPr>
            <w:r>
              <w:t>Max PIDs</w:t>
            </w:r>
          </w:p>
        </w:tc>
        <w:tc>
          <w:tcPr>
            <w:tcW w:w="0" w:type="auto"/>
            <w:shd w:val="clear" w:color="auto" w:fill="auto"/>
            <w:vAlign w:val="center"/>
          </w:tcPr>
          <w:p w14:paraId="28EBC50C">
            <w:pPr>
              <w:pStyle w:val="6"/>
              <w:widowControl/>
              <w:spacing w:beforeAutospacing="0" w:afterAutospacing="0" w:line="324" w:lineRule="atLeast"/>
            </w:pPr>
            <w:r>
              <w:t>256 per channel</w:t>
            </w:r>
          </w:p>
        </w:tc>
      </w:tr>
      <w:tr w14:paraId="69F103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DB75CD3">
            <w:pPr>
              <w:jc w:val="left"/>
              <w:rPr>
                <w:rFonts w:ascii="宋体"/>
                <w:sz w:val="24"/>
                <w:szCs w:val="24"/>
              </w:rPr>
            </w:pPr>
          </w:p>
        </w:tc>
        <w:tc>
          <w:tcPr>
            <w:tcW w:w="0" w:type="auto"/>
            <w:vMerge w:val="restart"/>
            <w:shd w:val="clear" w:color="auto" w:fill="auto"/>
            <w:vAlign w:val="center"/>
          </w:tcPr>
          <w:p w14:paraId="412FC3EC">
            <w:pPr>
              <w:pStyle w:val="6"/>
              <w:widowControl/>
              <w:spacing w:beforeAutospacing="0" w:afterAutospacing="0" w:line="324" w:lineRule="atLeast"/>
            </w:pPr>
            <w:r>
              <w:t>Functions</w:t>
            </w:r>
          </w:p>
        </w:tc>
        <w:tc>
          <w:tcPr>
            <w:tcW w:w="0" w:type="auto"/>
            <w:shd w:val="clear" w:color="auto" w:fill="auto"/>
            <w:vAlign w:val="center"/>
          </w:tcPr>
          <w:p w14:paraId="47FB5364">
            <w:pPr>
              <w:pStyle w:val="6"/>
              <w:widowControl/>
              <w:spacing w:beforeAutospacing="0" w:afterAutospacing="0" w:line="324" w:lineRule="atLeast"/>
            </w:pPr>
            <w:r>
              <w:t>PID remapping (auto/manually optional)</w:t>
            </w:r>
          </w:p>
        </w:tc>
      </w:tr>
      <w:tr w14:paraId="7CC124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0C053F2">
            <w:pPr>
              <w:jc w:val="left"/>
              <w:rPr>
                <w:rFonts w:ascii="宋体"/>
                <w:sz w:val="24"/>
                <w:szCs w:val="24"/>
              </w:rPr>
            </w:pPr>
          </w:p>
        </w:tc>
        <w:tc>
          <w:tcPr>
            <w:tcW w:w="0" w:type="auto"/>
            <w:vMerge w:val="continue"/>
            <w:shd w:val="clear" w:color="auto" w:fill="auto"/>
            <w:vAlign w:val="center"/>
          </w:tcPr>
          <w:p w14:paraId="0943B900">
            <w:pPr>
              <w:jc w:val="left"/>
              <w:rPr>
                <w:rFonts w:ascii="宋体"/>
                <w:sz w:val="24"/>
                <w:szCs w:val="24"/>
              </w:rPr>
            </w:pPr>
          </w:p>
        </w:tc>
        <w:tc>
          <w:tcPr>
            <w:tcW w:w="0" w:type="auto"/>
            <w:shd w:val="clear" w:color="auto" w:fill="auto"/>
            <w:vAlign w:val="center"/>
          </w:tcPr>
          <w:p w14:paraId="5B167279">
            <w:pPr>
              <w:pStyle w:val="6"/>
              <w:widowControl/>
              <w:spacing w:beforeAutospacing="0" w:afterAutospacing="0" w:line="324" w:lineRule="atLeast"/>
            </w:pPr>
            <w:r>
              <w:t>PCR accurate adjusting</w:t>
            </w:r>
          </w:p>
        </w:tc>
      </w:tr>
      <w:tr w14:paraId="09DFB5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53134B">
            <w:pPr>
              <w:jc w:val="left"/>
              <w:rPr>
                <w:rFonts w:ascii="宋体"/>
                <w:sz w:val="24"/>
                <w:szCs w:val="24"/>
              </w:rPr>
            </w:pPr>
          </w:p>
        </w:tc>
        <w:tc>
          <w:tcPr>
            <w:tcW w:w="0" w:type="auto"/>
            <w:vMerge w:val="continue"/>
            <w:shd w:val="clear" w:color="auto" w:fill="auto"/>
            <w:vAlign w:val="center"/>
          </w:tcPr>
          <w:p w14:paraId="32F801CA">
            <w:pPr>
              <w:jc w:val="left"/>
              <w:rPr>
                <w:rFonts w:ascii="宋体"/>
                <w:sz w:val="24"/>
                <w:szCs w:val="24"/>
              </w:rPr>
            </w:pPr>
          </w:p>
        </w:tc>
        <w:tc>
          <w:tcPr>
            <w:tcW w:w="0" w:type="auto"/>
            <w:shd w:val="clear" w:color="auto" w:fill="auto"/>
            <w:vAlign w:val="center"/>
          </w:tcPr>
          <w:p w14:paraId="561E6C1E">
            <w:pPr>
              <w:pStyle w:val="6"/>
              <w:widowControl/>
              <w:spacing w:beforeAutospacing="0" w:afterAutospacing="0" w:line="324" w:lineRule="atLeast"/>
            </w:pPr>
            <w:r>
              <w:t>PSI/SI table automatically generating</w:t>
            </w:r>
          </w:p>
        </w:tc>
      </w:tr>
      <w:tr w14:paraId="618341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EA1F855">
            <w:pPr>
              <w:pStyle w:val="6"/>
              <w:widowControl/>
              <w:spacing w:beforeAutospacing="0" w:afterAutospacing="0" w:line="324" w:lineRule="atLeast"/>
            </w:pPr>
            <w:r>
              <w:t>Modulation</w:t>
            </w:r>
          </w:p>
          <w:p w14:paraId="57206BB1">
            <w:pPr>
              <w:pStyle w:val="6"/>
              <w:widowControl/>
              <w:spacing w:beforeAutospacing="0" w:afterAutospacing="0" w:line="324" w:lineRule="atLeast"/>
            </w:pPr>
            <w:r>
              <w:t>Parameters</w:t>
            </w:r>
          </w:p>
        </w:tc>
        <w:tc>
          <w:tcPr>
            <w:tcW w:w="0" w:type="auto"/>
            <w:shd w:val="clear" w:color="auto" w:fill="auto"/>
            <w:vAlign w:val="center"/>
          </w:tcPr>
          <w:p w14:paraId="791ED0B8">
            <w:pPr>
              <w:pStyle w:val="6"/>
              <w:widowControl/>
              <w:spacing w:beforeAutospacing="0" w:afterAutospacing="0" w:line="324" w:lineRule="atLeast"/>
            </w:pPr>
            <w:r>
              <w:t>Standard</w:t>
            </w:r>
          </w:p>
        </w:tc>
        <w:tc>
          <w:tcPr>
            <w:tcW w:w="0" w:type="auto"/>
            <w:shd w:val="clear" w:color="auto" w:fill="auto"/>
            <w:vAlign w:val="center"/>
          </w:tcPr>
          <w:p w14:paraId="54001FB0">
            <w:pPr>
              <w:pStyle w:val="6"/>
              <w:widowControl/>
              <w:spacing w:beforeAutospacing="0" w:afterAutospacing="0" w:line="324" w:lineRule="atLeast"/>
            </w:pPr>
            <w:r>
              <w:t>ARIB STD-B31</w:t>
            </w:r>
          </w:p>
        </w:tc>
      </w:tr>
      <w:tr w14:paraId="33D0EA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83E915C">
            <w:pPr>
              <w:jc w:val="left"/>
              <w:rPr>
                <w:rFonts w:ascii="宋体"/>
                <w:sz w:val="24"/>
                <w:szCs w:val="24"/>
              </w:rPr>
            </w:pPr>
          </w:p>
        </w:tc>
        <w:tc>
          <w:tcPr>
            <w:tcW w:w="0" w:type="auto"/>
            <w:shd w:val="clear" w:color="auto" w:fill="auto"/>
            <w:vAlign w:val="center"/>
          </w:tcPr>
          <w:p w14:paraId="7E4FAE92">
            <w:pPr>
              <w:pStyle w:val="6"/>
              <w:widowControl/>
              <w:spacing w:beforeAutospacing="0" w:afterAutospacing="0" w:line="324" w:lineRule="atLeast"/>
            </w:pPr>
            <w:r>
              <w:t>Bandwidth</w:t>
            </w:r>
          </w:p>
        </w:tc>
        <w:tc>
          <w:tcPr>
            <w:tcW w:w="0" w:type="auto"/>
            <w:shd w:val="clear" w:color="auto" w:fill="auto"/>
            <w:vAlign w:val="center"/>
          </w:tcPr>
          <w:p w14:paraId="5DAC50E5">
            <w:pPr>
              <w:pStyle w:val="6"/>
              <w:widowControl/>
              <w:spacing w:beforeAutospacing="0" w:afterAutospacing="0" w:line="324" w:lineRule="atLeast"/>
            </w:pPr>
            <w:r>
              <w:t>6M</w:t>
            </w:r>
          </w:p>
        </w:tc>
      </w:tr>
      <w:tr w14:paraId="2EF1E9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EDE06F">
            <w:pPr>
              <w:jc w:val="left"/>
              <w:rPr>
                <w:rFonts w:ascii="宋体"/>
                <w:sz w:val="24"/>
                <w:szCs w:val="24"/>
              </w:rPr>
            </w:pPr>
          </w:p>
        </w:tc>
        <w:tc>
          <w:tcPr>
            <w:tcW w:w="0" w:type="auto"/>
            <w:shd w:val="clear" w:color="auto" w:fill="auto"/>
            <w:vAlign w:val="center"/>
          </w:tcPr>
          <w:p w14:paraId="7AC7BB21">
            <w:pPr>
              <w:pStyle w:val="6"/>
              <w:widowControl/>
              <w:spacing w:beforeAutospacing="0" w:afterAutospacing="0" w:line="324" w:lineRule="atLeast"/>
            </w:pPr>
            <w:r>
              <w:t>Constellation</w:t>
            </w:r>
          </w:p>
        </w:tc>
        <w:tc>
          <w:tcPr>
            <w:tcW w:w="0" w:type="auto"/>
            <w:shd w:val="clear" w:color="auto" w:fill="auto"/>
            <w:vAlign w:val="center"/>
          </w:tcPr>
          <w:p w14:paraId="26AFDD14">
            <w:pPr>
              <w:pStyle w:val="6"/>
              <w:widowControl/>
              <w:spacing w:beforeAutospacing="0" w:afterAutospacing="0" w:line="324" w:lineRule="atLeast"/>
            </w:pPr>
            <w:r>
              <w:t>QPSK, 16QAM, 64QAM</w:t>
            </w:r>
          </w:p>
        </w:tc>
      </w:tr>
      <w:tr w14:paraId="5E6224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AFF532">
            <w:pPr>
              <w:jc w:val="left"/>
              <w:rPr>
                <w:rFonts w:ascii="宋体"/>
                <w:sz w:val="24"/>
                <w:szCs w:val="24"/>
              </w:rPr>
            </w:pPr>
          </w:p>
        </w:tc>
        <w:tc>
          <w:tcPr>
            <w:tcW w:w="0" w:type="auto"/>
            <w:shd w:val="clear" w:color="auto" w:fill="auto"/>
            <w:vAlign w:val="center"/>
          </w:tcPr>
          <w:p w14:paraId="4B49ECF0">
            <w:pPr>
              <w:pStyle w:val="6"/>
              <w:widowControl/>
              <w:spacing w:beforeAutospacing="0" w:afterAutospacing="0" w:line="324" w:lineRule="atLeast"/>
            </w:pPr>
            <w:r>
              <w:t>Guard Interval</w:t>
            </w:r>
          </w:p>
        </w:tc>
        <w:tc>
          <w:tcPr>
            <w:tcW w:w="0" w:type="auto"/>
            <w:shd w:val="clear" w:color="auto" w:fill="auto"/>
            <w:vAlign w:val="center"/>
          </w:tcPr>
          <w:p w14:paraId="2D429660">
            <w:pPr>
              <w:pStyle w:val="6"/>
              <w:widowControl/>
              <w:spacing w:beforeAutospacing="0" w:afterAutospacing="0" w:line="324" w:lineRule="atLeast"/>
            </w:pPr>
            <w:r>
              <w:t>1/32, 1/16, 1/8, 1/4</w:t>
            </w:r>
          </w:p>
        </w:tc>
      </w:tr>
      <w:tr w14:paraId="7C0885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A05563">
            <w:pPr>
              <w:jc w:val="left"/>
              <w:rPr>
                <w:rFonts w:ascii="宋体"/>
                <w:sz w:val="24"/>
                <w:szCs w:val="24"/>
              </w:rPr>
            </w:pPr>
          </w:p>
        </w:tc>
        <w:tc>
          <w:tcPr>
            <w:tcW w:w="0" w:type="auto"/>
            <w:shd w:val="clear" w:color="auto" w:fill="auto"/>
            <w:vAlign w:val="center"/>
          </w:tcPr>
          <w:p w14:paraId="300171BF">
            <w:pPr>
              <w:pStyle w:val="6"/>
              <w:widowControl/>
              <w:spacing w:beforeAutospacing="0" w:afterAutospacing="0" w:line="324" w:lineRule="atLeast"/>
            </w:pPr>
            <w:r>
              <w:t>Transmission Mode</w:t>
            </w:r>
          </w:p>
        </w:tc>
        <w:tc>
          <w:tcPr>
            <w:tcW w:w="0" w:type="auto"/>
            <w:shd w:val="clear" w:color="auto" w:fill="auto"/>
            <w:vAlign w:val="center"/>
          </w:tcPr>
          <w:p w14:paraId="66BF7E26">
            <w:pPr>
              <w:pStyle w:val="6"/>
              <w:widowControl/>
              <w:spacing w:beforeAutospacing="0" w:afterAutospacing="0" w:line="324" w:lineRule="atLeast"/>
            </w:pPr>
            <w:r>
              <w:t>2K, 4K, 8K</w:t>
            </w:r>
          </w:p>
        </w:tc>
      </w:tr>
      <w:tr w14:paraId="702FB8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E44427">
            <w:pPr>
              <w:jc w:val="left"/>
              <w:rPr>
                <w:rFonts w:ascii="宋体"/>
                <w:sz w:val="24"/>
                <w:szCs w:val="24"/>
              </w:rPr>
            </w:pPr>
          </w:p>
        </w:tc>
        <w:tc>
          <w:tcPr>
            <w:tcW w:w="0" w:type="auto"/>
            <w:shd w:val="clear" w:color="auto" w:fill="auto"/>
            <w:vAlign w:val="center"/>
          </w:tcPr>
          <w:p w14:paraId="5C4E5303">
            <w:pPr>
              <w:pStyle w:val="6"/>
              <w:widowControl/>
              <w:spacing w:beforeAutospacing="0" w:afterAutospacing="0" w:line="324" w:lineRule="atLeast"/>
            </w:pPr>
            <w:r>
              <w:t>Code rate</w:t>
            </w:r>
          </w:p>
        </w:tc>
        <w:tc>
          <w:tcPr>
            <w:tcW w:w="0" w:type="auto"/>
            <w:shd w:val="clear" w:color="auto" w:fill="auto"/>
            <w:vAlign w:val="center"/>
          </w:tcPr>
          <w:p w14:paraId="3D9BBD76">
            <w:pPr>
              <w:pStyle w:val="6"/>
              <w:widowControl/>
              <w:spacing w:beforeAutospacing="0" w:afterAutospacing="0" w:line="324" w:lineRule="atLeast"/>
            </w:pPr>
            <w:r>
              <w:t>1/2, 2/3, 3/4, 5/6, 7/8</w:t>
            </w:r>
          </w:p>
        </w:tc>
      </w:tr>
      <w:tr w14:paraId="12B63C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ACA912">
            <w:pPr>
              <w:jc w:val="left"/>
              <w:rPr>
                <w:rFonts w:ascii="宋体"/>
                <w:sz w:val="24"/>
                <w:szCs w:val="24"/>
              </w:rPr>
            </w:pPr>
          </w:p>
        </w:tc>
        <w:tc>
          <w:tcPr>
            <w:tcW w:w="0" w:type="auto"/>
            <w:shd w:val="clear" w:color="auto" w:fill="auto"/>
            <w:vAlign w:val="center"/>
          </w:tcPr>
          <w:p w14:paraId="41CA0F98">
            <w:pPr>
              <w:pStyle w:val="6"/>
              <w:widowControl/>
              <w:spacing w:beforeAutospacing="0" w:afterAutospacing="0" w:line="324" w:lineRule="atLeast"/>
            </w:pPr>
            <w:r>
              <w:t>MER</w:t>
            </w:r>
          </w:p>
        </w:tc>
        <w:tc>
          <w:tcPr>
            <w:tcW w:w="0" w:type="auto"/>
            <w:shd w:val="clear" w:color="auto" w:fill="auto"/>
            <w:vAlign w:val="center"/>
          </w:tcPr>
          <w:p w14:paraId="0E6D2558">
            <w:pPr>
              <w:pStyle w:val="6"/>
              <w:widowControl/>
              <w:spacing w:beforeAutospacing="0" w:afterAutospacing="0" w:line="324" w:lineRule="atLeast"/>
            </w:pPr>
            <w:r>
              <w:t>≥40dB</w:t>
            </w:r>
          </w:p>
        </w:tc>
      </w:tr>
      <w:tr w14:paraId="49AE0F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7552B0B">
            <w:pPr>
              <w:jc w:val="left"/>
              <w:rPr>
                <w:rFonts w:ascii="宋体"/>
                <w:sz w:val="24"/>
                <w:szCs w:val="24"/>
              </w:rPr>
            </w:pPr>
          </w:p>
        </w:tc>
        <w:tc>
          <w:tcPr>
            <w:tcW w:w="0" w:type="auto"/>
            <w:shd w:val="clear" w:color="auto" w:fill="auto"/>
            <w:vAlign w:val="center"/>
          </w:tcPr>
          <w:p w14:paraId="2365318C">
            <w:pPr>
              <w:pStyle w:val="6"/>
              <w:widowControl/>
              <w:spacing w:beforeAutospacing="0" w:afterAutospacing="0" w:line="324" w:lineRule="atLeast"/>
            </w:pPr>
            <w:r>
              <w:t>RF frequency</w:t>
            </w:r>
          </w:p>
        </w:tc>
        <w:tc>
          <w:tcPr>
            <w:tcW w:w="0" w:type="auto"/>
            <w:shd w:val="clear" w:color="auto" w:fill="auto"/>
            <w:vAlign w:val="center"/>
          </w:tcPr>
          <w:p w14:paraId="4491F7AC">
            <w:pPr>
              <w:pStyle w:val="6"/>
              <w:widowControl/>
              <w:spacing w:beforeAutospacing="0" w:afterAutospacing="0" w:line="324" w:lineRule="atLeast"/>
            </w:pPr>
            <w:r>
              <w:t>50~960MHz, 1KHz step</w:t>
            </w:r>
          </w:p>
        </w:tc>
      </w:tr>
      <w:tr w14:paraId="2E1682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3DDAE3">
            <w:pPr>
              <w:jc w:val="left"/>
              <w:rPr>
                <w:rFonts w:ascii="宋体"/>
                <w:sz w:val="24"/>
                <w:szCs w:val="24"/>
              </w:rPr>
            </w:pPr>
          </w:p>
        </w:tc>
        <w:tc>
          <w:tcPr>
            <w:tcW w:w="0" w:type="auto"/>
            <w:shd w:val="clear" w:color="auto" w:fill="auto"/>
            <w:vAlign w:val="center"/>
          </w:tcPr>
          <w:p w14:paraId="48F137B5">
            <w:pPr>
              <w:pStyle w:val="6"/>
              <w:widowControl/>
              <w:spacing w:beforeAutospacing="0" w:afterAutospacing="0" w:line="324" w:lineRule="atLeast"/>
            </w:pPr>
            <w:r>
              <w:t>RF output level</w:t>
            </w:r>
          </w:p>
        </w:tc>
        <w:tc>
          <w:tcPr>
            <w:tcW w:w="0" w:type="auto"/>
            <w:shd w:val="clear" w:color="auto" w:fill="auto"/>
            <w:vAlign w:val="center"/>
          </w:tcPr>
          <w:p w14:paraId="3F4A6790">
            <w:pPr>
              <w:pStyle w:val="6"/>
              <w:widowControl/>
              <w:spacing w:beforeAutospacing="0" w:afterAutospacing="0" w:line="324" w:lineRule="atLeast"/>
            </w:pPr>
            <w:r>
              <w:t>-20dBm~+10dBm(87~117dbµV), 0.1dB stepping</w:t>
            </w:r>
          </w:p>
        </w:tc>
      </w:tr>
      <w:tr w14:paraId="0FF518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4BEF19">
            <w:pPr>
              <w:jc w:val="left"/>
              <w:rPr>
                <w:rFonts w:ascii="宋体"/>
                <w:sz w:val="24"/>
                <w:szCs w:val="24"/>
              </w:rPr>
            </w:pPr>
          </w:p>
        </w:tc>
        <w:tc>
          <w:tcPr>
            <w:tcW w:w="0" w:type="auto"/>
            <w:shd w:val="clear" w:color="auto" w:fill="auto"/>
            <w:vAlign w:val="center"/>
          </w:tcPr>
          <w:p w14:paraId="1A9441E1">
            <w:pPr>
              <w:pStyle w:val="6"/>
              <w:widowControl/>
              <w:spacing w:beforeAutospacing="0" w:afterAutospacing="0" w:line="324" w:lineRule="atLeast"/>
            </w:pPr>
            <w:r>
              <w:t>Output Channel</w:t>
            </w:r>
          </w:p>
        </w:tc>
        <w:tc>
          <w:tcPr>
            <w:tcW w:w="0" w:type="auto"/>
            <w:shd w:val="clear" w:color="auto" w:fill="auto"/>
            <w:vAlign w:val="center"/>
          </w:tcPr>
          <w:p w14:paraId="78DE0F37">
            <w:pPr>
              <w:pStyle w:val="6"/>
              <w:widowControl/>
              <w:spacing w:beforeAutospacing="0" w:afterAutospacing="0" w:line="324" w:lineRule="atLeast"/>
            </w:pPr>
            <w:r>
              <w:t>24 (or 48) non-adjacent carriers output</w:t>
            </w:r>
          </w:p>
        </w:tc>
      </w:tr>
      <w:tr w14:paraId="08C826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A78F0F5">
            <w:pPr>
              <w:pStyle w:val="6"/>
              <w:widowControl/>
              <w:spacing w:beforeAutospacing="0" w:afterAutospacing="0" w:line="324" w:lineRule="atLeast"/>
            </w:pPr>
            <w:r>
              <w:t>RF Output</w:t>
            </w:r>
          </w:p>
        </w:tc>
        <w:tc>
          <w:tcPr>
            <w:tcW w:w="0" w:type="auto"/>
            <w:shd w:val="clear" w:color="auto" w:fill="auto"/>
            <w:vAlign w:val="center"/>
          </w:tcPr>
          <w:p w14:paraId="433C1AFE">
            <w:pPr>
              <w:pStyle w:val="6"/>
              <w:widowControl/>
              <w:spacing w:beforeAutospacing="0" w:afterAutospacing="0" w:line="324" w:lineRule="atLeast"/>
            </w:pPr>
            <w:r>
              <w:t>Interface</w:t>
            </w:r>
          </w:p>
        </w:tc>
        <w:tc>
          <w:tcPr>
            <w:tcW w:w="0" w:type="auto"/>
            <w:shd w:val="clear" w:color="auto" w:fill="auto"/>
            <w:vAlign w:val="center"/>
          </w:tcPr>
          <w:p w14:paraId="4D258D82">
            <w:pPr>
              <w:pStyle w:val="6"/>
              <w:widowControl/>
              <w:spacing w:beforeAutospacing="0" w:afterAutospacing="0" w:line="324" w:lineRule="atLeast"/>
            </w:pPr>
            <w:r>
              <w:t>2 F type port mirror out, 75Ω impedance - </w:t>
            </w:r>
            <w:bookmarkStart w:id="0" w:name="OLE_LINK7"/>
            <w:r>
              <w:t>24ch model</w:t>
            </w:r>
            <w:bookmarkEnd w:id="0"/>
          </w:p>
          <w:p w14:paraId="3FA9F193">
            <w:pPr>
              <w:pStyle w:val="6"/>
              <w:widowControl/>
              <w:spacing w:beforeAutospacing="0" w:afterAutospacing="0" w:line="324" w:lineRule="atLeast"/>
            </w:pPr>
            <w:r>
              <w:t>4 F type port (with 2 ports located in </w:t>
            </w:r>
            <w:bookmarkStart w:id="1" w:name="OLE_LINK5"/>
            <w:r>
              <w:t>each daughter card</w:t>
            </w:r>
            <w:bookmarkEnd w:id="1"/>
            <w:r>
              <w:t>), 75Ω impedance - 48ch model</w:t>
            </w:r>
          </w:p>
        </w:tc>
      </w:tr>
      <w:tr w14:paraId="417E45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80C4495">
            <w:pPr>
              <w:jc w:val="left"/>
              <w:rPr>
                <w:rFonts w:ascii="宋体"/>
                <w:sz w:val="24"/>
                <w:szCs w:val="24"/>
              </w:rPr>
            </w:pPr>
          </w:p>
        </w:tc>
        <w:tc>
          <w:tcPr>
            <w:tcW w:w="0" w:type="auto"/>
            <w:shd w:val="clear" w:color="auto" w:fill="auto"/>
            <w:vAlign w:val="center"/>
          </w:tcPr>
          <w:p w14:paraId="41C8E20E">
            <w:pPr>
              <w:pStyle w:val="6"/>
              <w:widowControl/>
              <w:spacing w:beforeAutospacing="0" w:afterAutospacing="0" w:line="324" w:lineRule="atLeast"/>
            </w:pPr>
            <w:r>
              <w:t>ACLR</w:t>
            </w:r>
          </w:p>
        </w:tc>
        <w:tc>
          <w:tcPr>
            <w:tcW w:w="0" w:type="auto"/>
            <w:shd w:val="clear" w:color="auto" w:fill="auto"/>
            <w:vAlign w:val="center"/>
          </w:tcPr>
          <w:p w14:paraId="3484FB10">
            <w:pPr>
              <w:pStyle w:val="6"/>
              <w:widowControl/>
              <w:spacing w:beforeAutospacing="0" w:afterAutospacing="0" w:line="324" w:lineRule="atLeast"/>
            </w:pPr>
            <w:r>
              <w:t>-50 dBc</w:t>
            </w:r>
          </w:p>
        </w:tc>
      </w:tr>
      <w:tr w14:paraId="434454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825DF6B">
            <w:pPr>
              <w:pStyle w:val="6"/>
              <w:widowControl/>
              <w:spacing w:beforeAutospacing="0" w:afterAutospacing="0" w:line="324" w:lineRule="atLeast"/>
            </w:pPr>
            <w:r>
              <w:t>IP output</w:t>
            </w:r>
          </w:p>
        </w:tc>
        <w:tc>
          <w:tcPr>
            <w:tcW w:w="0" w:type="auto"/>
            <w:gridSpan w:val="2"/>
            <w:shd w:val="clear" w:color="auto" w:fill="auto"/>
            <w:vAlign w:val="center"/>
          </w:tcPr>
          <w:p w14:paraId="06274161">
            <w:pPr>
              <w:pStyle w:val="6"/>
              <w:widowControl/>
              <w:spacing w:beforeAutospacing="0" w:afterAutospacing="0" w:line="324" w:lineRule="atLeast"/>
            </w:pPr>
            <w:r>
              <w:t>24 (or 48) IP output over UDP/RTP/RTSP through data ports 3&amp;4, unicast/multicast, 100/1000M Ethernet Ports</w:t>
            </w:r>
          </w:p>
        </w:tc>
      </w:tr>
      <w:tr w14:paraId="18739D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78E6F79">
            <w:pPr>
              <w:pStyle w:val="6"/>
              <w:widowControl/>
              <w:spacing w:beforeAutospacing="0" w:afterAutospacing="0" w:line="324" w:lineRule="atLeast"/>
            </w:pPr>
            <w:r>
              <w:t>System</w:t>
            </w:r>
          </w:p>
        </w:tc>
        <w:tc>
          <w:tcPr>
            <w:tcW w:w="0" w:type="auto"/>
            <w:gridSpan w:val="2"/>
            <w:shd w:val="clear" w:color="auto" w:fill="auto"/>
            <w:vAlign w:val="center"/>
          </w:tcPr>
          <w:p w14:paraId="38BBA8B8">
            <w:pPr>
              <w:pStyle w:val="6"/>
              <w:widowControl/>
              <w:spacing w:beforeAutospacing="0" w:afterAutospacing="0" w:line="324" w:lineRule="atLeast"/>
            </w:pPr>
            <w:r>
              <w:t>Web-based NMS management</w:t>
            </w:r>
          </w:p>
        </w:tc>
      </w:tr>
      <w:tr w14:paraId="6D196F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3B324D8">
            <w:pPr>
              <w:pStyle w:val="6"/>
              <w:widowControl/>
              <w:spacing w:beforeAutospacing="0" w:afterAutospacing="0" w:line="324" w:lineRule="atLeast"/>
            </w:pPr>
            <w:r>
              <w:t>General</w:t>
            </w:r>
          </w:p>
        </w:tc>
        <w:tc>
          <w:tcPr>
            <w:tcW w:w="0" w:type="auto"/>
            <w:shd w:val="clear" w:color="auto" w:fill="auto"/>
            <w:vAlign w:val="center"/>
          </w:tcPr>
          <w:p w14:paraId="6CCC1182">
            <w:pPr>
              <w:pStyle w:val="6"/>
              <w:widowControl/>
              <w:spacing w:beforeAutospacing="0" w:afterAutospacing="0" w:line="324" w:lineRule="atLeast"/>
            </w:pPr>
            <w:r>
              <w:t>Demission</w:t>
            </w:r>
          </w:p>
        </w:tc>
        <w:tc>
          <w:tcPr>
            <w:tcW w:w="0" w:type="auto"/>
            <w:shd w:val="clear" w:color="auto" w:fill="auto"/>
            <w:vAlign w:val="center"/>
          </w:tcPr>
          <w:p w14:paraId="4CA6C6D9">
            <w:pPr>
              <w:pStyle w:val="6"/>
              <w:widowControl/>
              <w:spacing w:beforeAutospacing="0" w:afterAutospacing="0" w:line="324" w:lineRule="atLeast"/>
            </w:pPr>
            <w:r>
              <w:t>480mm×327mm×44.5mm (WxLxH)</w:t>
            </w:r>
          </w:p>
        </w:tc>
      </w:tr>
      <w:tr w14:paraId="31F4AE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968AC59">
            <w:pPr>
              <w:jc w:val="left"/>
              <w:rPr>
                <w:rFonts w:ascii="宋体"/>
                <w:sz w:val="24"/>
                <w:szCs w:val="24"/>
              </w:rPr>
            </w:pPr>
          </w:p>
        </w:tc>
        <w:tc>
          <w:tcPr>
            <w:tcW w:w="0" w:type="auto"/>
            <w:shd w:val="clear" w:color="auto" w:fill="auto"/>
            <w:vAlign w:val="center"/>
          </w:tcPr>
          <w:p w14:paraId="0CBF87E3">
            <w:pPr>
              <w:pStyle w:val="6"/>
              <w:widowControl/>
              <w:spacing w:beforeAutospacing="0" w:afterAutospacing="0" w:line="324" w:lineRule="atLeast"/>
            </w:pPr>
            <w:r>
              <w:t>Weight</w:t>
            </w:r>
          </w:p>
        </w:tc>
        <w:tc>
          <w:tcPr>
            <w:tcW w:w="0" w:type="auto"/>
            <w:shd w:val="clear" w:color="auto" w:fill="auto"/>
            <w:vAlign w:val="center"/>
          </w:tcPr>
          <w:p w14:paraId="52CF0734">
            <w:pPr>
              <w:pStyle w:val="6"/>
              <w:widowControl/>
              <w:spacing w:beforeAutospacing="0" w:afterAutospacing="0" w:line="324" w:lineRule="atLeast"/>
            </w:pPr>
            <w:r>
              <w:t>5.5kg</w:t>
            </w:r>
          </w:p>
        </w:tc>
      </w:tr>
      <w:tr w14:paraId="60B161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78F745D">
            <w:pPr>
              <w:jc w:val="left"/>
              <w:rPr>
                <w:rFonts w:ascii="宋体"/>
                <w:sz w:val="24"/>
                <w:szCs w:val="24"/>
              </w:rPr>
            </w:pPr>
          </w:p>
        </w:tc>
        <w:tc>
          <w:tcPr>
            <w:tcW w:w="0" w:type="auto"/>
            <w:shd w:val="clear" w:color="auto" w:fill="auto"/>
            <w:vAlign w:val="center"/>
          </w:tcPr>
          <w:p w14:paraId="35137111">
            <w:pPr>
              <w:pStyle w:val="6"/>
              <w:widowControl/>
              <w:spacing w:beforeAutospacing="0" w:afterAutospacing="0" w:line="324" w:lineRule="atLeast"/>
            </w:pPr>
            <w:r>
              <w:t>Temperature</w:t>
            </w:r>
          </w:p>
        </w:tc>
        <w:tc>
          <w:tcPr>
            <w:tcW w:w="0" w:type="auto"/>
            <w:shd w:val="clear" w:color="auto" w:fill="auto"/>
            <w:vAlign w:val="center"/>
          </w:tcPr>
          <w:p w14:paraId="51E6F1D5">
            <w:pPr>
              <w:pStyle w:val="6"/>
              <w:widowControl/>
              <w:spacing w:beforeAutospacing="0" w:afterAutospacing="0" w:line="324" w:lineRule="atLeast"/>
            </w:pPr>
            <w:r>
              <w:t>0~45℃(operation), -20~80℃(storage)</w:t>
            </w:r>
          </w:p>
        </w:tc>
      </w:tr>
      <w:tr w14:paraId="6A8B50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188598">
            <w:pPr>
              <w:jc w:val="left"/>
              <w:rPr>
                <w:rFonts w:ascii="宋体"/>
                <w:sz w:val="24"/>
                <w:szCs w:val="24"/>
              </w:rPr>
            </w:pPr>
          </w:p>
        </w:tc>
        <w:tc>
          <w:tcPr>
            <w:tcW w:w="0" w:type="auto"/>
            <w:shd w:val="clear" w:color="auto" w:fill="auto"/>
            <w:vAlign w:val="center"/>
          </w:tcPr>
          <w:p w14:paraId="6D241DAA">
            <w:pPr>
              <w:pStyle w:val="6"/>
              <w:widowControl/>
              <w:spacing w:beforeAutospacing="0" w:afterAutospacing="0" w:line="324" w:lineRule="atLeast"/>
            </w:pPr>
            <w:r>
              <w:t>Power Supply</w:t>
            </w:r>
          </w:p>
        </w:tc>
        <w:tc>
          <w:tcPr>
            <w:tcW w:w="0" w:type="auto"/>
            <w:shd w:val="clear" w:color="auto" w:fill="auto"/>
            <w:vAlign w:val="center"/>
          </w:tcPr>
          <w:p w14:paraId="59034BF3">
            <w:pPr>
              <w:pStyle w:val="6"/>
              <w:widowControl/>
              <w:spacing w:beforeAutospacing="0" w:afterAutospacing="0" w:line="324" w:lineRule="atLeast"/>
            </w:pPr>
            <w:r>
              <w:t>AC 100V±10%, 50/60Hz or AC 220V±10%, 50/60Hz</w:t>
            </w:r>
          </w:p>
        </w:tc>
      </w:tr>
    </w:tbl>
    <w:p w14:paraId="72903635">
      <w:pPr>
        <w:pStyle w:val="6"/>
        <w:widowControl/>
        <w:spacing w:beforeAutospacing="0" w:afterAutospacing="0" w:line="324" w:lineRule="atLeast"/>
      </w:pPr>
      <w:r>
        <w:rPr>
          <w:rFonts w:ascii="Verdana" w:hAnsi="Verdana" w:cs="Verdana"/>
          <w:color w:val="333333"/>
          <w:sz w:val="18"/>
          <w:szCs w:val="18"/>
          <w:shd w:val="clear" w:color="auto" w:fill="FEFCFD"/>
        </w:rPr>
        <w:t> </w:t>
      </w:r>
    </w:p>
    <w:p w14:paraId="7CF97011">
      <w:pPr>
        <w:pStyle w:val="6"/>
        <w:widowControl/>
        <w:spacing w:beforeAutospacing="0" w:afterAutospacing="0" w:line="324" w:lineRule="atLeast"/>
      </w:pPr>
      <w:r>
        <w:rPr>
          <w:rStyle w:val="10"/>
          <w:rFonts w:ascii="Verdana" w:hAnsi="Verdana" w:cs="Verdana"/>
          <w:color w:val="FF8C00"/>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077"/>
        <w:gridCol w:w="1336"/>
        <w:gridCol w:w="1337"/>
      </w:tblGrid>
      <w:tr w14:paraId="46E776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09D368A">
            <w:pPr>
              <w:pStyle w:val="6"/>
              <w:widowControl/>
              <w:spacing w:beforeAutospacing="0" w:afterAutospacing="0" w:line="324" w:lineRule="atLeast"/>
            </w:pPr>
            <w:r>
              <w:t> </w:t>
            </w:r>
          </w:p>
        </w:tc>
        <w:tc>
          <w:tcPr>
            <w:tcW w:w="0" w:type="auto"/>
            <w:shd w:val="clear" w:color="auto" w:fill="auto"/>
            <w:vAlign w:val="center"/>
          </w:tcPr>
          <w:p w14:paraId="35718777">
            <w:pPr>
              <w:pStyle w:val="6"/>
              <w:widowControl/>
              <w:spacing w:beforeAutospacing="0" w:afterAutospacing="0" w:line="324" w:lineRule="atLeast"/>
              <w:jc w:val="center"/>
            </w:pPr>
            <w:r>
              <w:t>24ch Model</w:t>
            </w:r>
          </w:p>
        </w:tc>
        <w:tc>
          <w:tcPr>
            <w:tcW w:w="0" w:type="auto"/>
            <w:shd w:val="clear" w:color="auto" w:fill="auto"/>
            <w:vAlign w:val="center"/>
          </w:tcPr>
          <w:p w14:paraId="20D26729">
            <w:pPr>
              <w:pStyle w:val="6"/>
              <w:widowControl/>
              <w:spacing w:beforeAutospacing="0" w:afterAutospacing="0" w:line="324" w:lineRule="atLeast"/>
              <w:jc w:val="center"/>
            </w:pPr>
            <w:r>
              <w:t>48ch Model</w:t>
            </w:r>
          </w:p>
        </w:tc>
      </w:tr>
      <w:tr w14:paraId="34BE3E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CB18949">
            <w:pPr>
              <w:pStyle w:val="6"/>
              <w:widowControl/>
              <w:spacing w:beforeAutospacing="0" w:afterAutospacing="0" w:line="324" w:lineRule="atLeast"/>
            </w:pPr>
            <w:r>
              <w:t>1024 IP input to 24ch ISDB-T carriers out, 24 IP out (with single card)</w:t>
            </w:r>
          </w:p>
        </w:tc>
        <w:tc>
          <w:tcPr>
            <w:tcW w:w="0" w:type="auto"/>
            <w:shd w:val="clear" w:color="auto" w:fill="auto"/>
            <w:vAlign w:val="center"/>
          </w:tcPr>
          <w:p w14:paraId="026D355A">
            <w:pPr>
              <w:pStyle w:val="6"/>
              <w:widowControl/>
              <w:spacing w:beforeAutospacing="0" w:afterAutospacing="0" w:line="324" w:lineRule="atLeast"/>
              <w:jc w:val="center"/>
            </w:pPr>
            <w:r>
              <w:t>x</w:t>
            </w:r>
          </w:p>
        </w:tc>
        <w:tc>
          <w:tcPr>
            <w:tcW w:w="0" w:type="auto"/>
            <w:shd w:val="clear" w:color="auto" w:fill="auto"/>
            <w:vAlign w:val="center"/>
          </w:tcPr>
          <w:p w14:paraId="7CD52DC0">
            <w:pPr>
              <w:pStyle w:val="6"/>
              <w:widowControl/>
              <w:spacing w:beforeAutospacing="0" w:afterAutospacing="0" w:line="324" w:lineRule="atLeast"/>
              <w:jc w:val="center"/>
            </w:pPr>
            <w:r>
              <w:t> </w:t>
            </w:r>
          </w:p>
        </w:tc>
      </w:tr>
      <w:tr w14:paraId="20C02A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66E4842">
            <w:pPr>
              <w:pStyle w:val="6"/>
              <w:widowControl/>
              <w:spacing w:beforeAutospacing="0" w:afterAutospacing="0" w:line="324" w:lineRule="atLeast"/>
            </w:pPr>
            <w:r>
              <w:t>1024 x2 IP input to 24ch x2 ISDB-T carriers out,</w:t>
            </w:r>
          </w:p>
          <w:p w14:paraId="5D393796">
            <w:pPr>
              <w:pStyle w:val="6"/>
              <w:widowControl/>
              <w:spacing w:beforeAutospacing="0" w:afterAutospacing="0" w:line="324" w:lineRule="atLeast"/>
            </w:pPr>
            <w:r>
              <w:t>24 x2 IP out (with two daughter cards)</w:t>
            </w:r>
          </w:p>
        </w:tc>
        <w:tc>
          <w:tcPr>
            <w:tcW w:w="0" w:type="auto"/>
            <w:shd w:val="clear" w:color="auto" w:fill="auto"/>
            <w:vAlign w:val="center"/>
          </w:tcPr>
          <w:p w14:paraId="7CD65781">
            <w:pPr>
              <w:pStyle w:val="6"/>
              <w:widowControl/>
              <w:spacing w:beforeAutospacing="0" w:afterAutospacing="0" w:line="324" w:lineRule="atLeast"/>
              <w:jc w:val="center"/>
            </w:pPr>
            <w:r>
              <w:t> </w:t>
            </w:r>
          </w:p>
        </w:tc>
        <w:tc>
          <w:tcPr>
            <w:tcW w:w="0" w:type="auto"/>
            <w:shd w:val="clear" w:color="auto" w:fill="auto"/>
            <w:vAlign w:val="center"/>
          </w:tcPr>
          <w:p w14:paraId="2D778A90">
            <w:pPr>
              <w:pStyle w:val="6"/>
              <w:widowControl/>
              <w:spacing w:beforeAutospacing="0" w:afterAutospacing="0" w:line="324" w:lineRule="atLeast"/>
              <w:jc w:val="center"/>
            </w:pPr>
            <w:r>
              <w:t>x</w:t>
            </w:r>
          </w:p>
        </w:tc>
      </w:tr>
      <w:tr w14:paraId="6C3DE5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078F2F3">
            <w:pPr>
              <w:pStyle w:val="6"/>
              <w:widowControl/>
              <w:spacing w:beforeAutospacing="0" w:afterAutospacing="0" w:line="324" w:lineRule="atLeast"/>
            </w:pPr>
            <w:r>
              <w:t>10G Ethernet</w:t>
            </w:r>
          </w:p>
        </w:tc>
        <w:tc>
          <w:tcPr>
            <w:tcW w:w="0" w:type="auto"/>
            <w:shd w:val="clear" w:color="auto" w:fill="auto"/>
            <w:vAlign w:val="center"/>
          </w:tcPr>
          <w:p w14:paraId="14DDBBED">
            <w:pPr>
              <w:pStyle w:val="6"/>
              <w:widowControl/>
              <w:spacing w:beforeAutospacing="0" w:afterAutospacing="0" w:line="324" w:lineRule="atLeast"/>
              <w:jc w:val="center"/>
            </w:pPr>
            <w:r>
              <w:t>As per order</w:t>
            </w:r>
          </w:p>
        </w:tc>
        <w:tc>
          <w:tcPr>
            <w:tcW w:w="0" w:type="auto"/>
            <w:shd w:val="clear" w:color="auto" w:fill="auto"/>
            <w:vAlign w:val="center"/>
          </w:tcPr>
          <w:p w14:paraId="4CCBAEFB">
            <w:pPr>
              <w:pStyle w:val="6"/>
              <w:widowControl/>
              <w:spacing w:beforeAutospacing="0" w:afterAutospacing="0" w:line="324" w:lineRule="atLeast"/>
              <w:jc w:val="center"/>
            </w:pPr>
            <w:bookmarkStart w:id="2" w:name="OLE_LINK6"/>
            <w:r>
              <w:t>As per order</w:t>
            </w:r>
            <w:bookmarkEnd w:id="2"/>
          </w:p>
        </w:tc>
      </w:tr>
      <w:tr w14:paraId="3796D3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34F1ED6">
            <w:pPr>
              <w:pStyle w:val="6"/>
              <w:widowControl/>
              <w:spacing w:beforeAutospacing="0" w:afterAutospacing="0" w:line="324" w:lineRule="atLeast"/>
            </w:pPr>
            <w:r>
              <w:t>Dual Power Supply</w:t>
            </w:r>
          </w:p>
        </w:tc>
        <w:tc>
          <w:tcPr>
            <w:tcW w:w="0" w:type="auto"/>
            <w:shd w:val="clear" w:color="auto" w:fill="auto"/>
            <w:vAlign w:val="center"/>
          </w:tcPr>
          <w:p w14:paraId="7E8FBFAB">
            <w:pPr>
              <w:pStyle w:val="6"/>
              <w:widowControl/>
              <w:spacing w:beforeAutospacing="0" w:afterAutospacing="0" w:line="324" w:lineRule="atLeast"/>
              <w:jc w:val="center"/>
            </w:pPr>
            <w:r>
              <w:t>As per order</w:t>
            </w:r>
          </w:p>
        </w:tc>
        <w:tc>
          <w:tcPr>
            <w:tcW w:w="0" w:type="auto"/>
            <w:shd w:val="clear" w:color="auto" w:fill="auto"/>
            <w:vAlign w:val="center"/>
          </w:tcPr>
          <w:p w14:paraId="01B9D013">
            <w:pPr>
              <w:pStyle w:val="6"/>
              <w:widowControl/>
              <w:spacing w:beforeAutospacing="0" w:afterAutospacing="0" w:line="324" w:lineRule="atLeast"/>
              <w:jc w:val="center"/>
            </w:pPr>
            <w:r>
              <w:t>As per order</w:t>
            </w:r>
          </w:p>
        </w:tc>
      </w:tr>
    </w:tbl>
    <w:p w14:paraId="17D30CE8">
      <w:pPr>
        <w:pStyle w:val="6"/>
        <w:widowControl/>
        <w:spacing w:beforeAutospacing="0" w:afterAutospacing="0" w:line="324" w:lineRule="atLeast"/>
      </w:pPr>
      <w:r>
        <w:rPr>
          <w:rFonts w:ascii="Verdana" w:hAnsi="Verdana" w:cs="Verdana"/>
          <w:color w:val="333333"/>
          <w:sz w:val="18"/>
          <w:szCs w:val="18"/>
          <w:shd w:val="clear" w:color="auto" w:fill="FEFCFD"/>
        </w:rPr>
        <w:t> </w:t>
      </w:r>
    </w:p>
    <w:p w14:paraId="5481A651">
      <w:pPr>
        <w:widowControl/>
        <w:shd w:val="clear" w:color="auto" w:fill="F2F2F4"/>
        <w:jc w:val="left"/>
        <w:rPr>
          <w:rFonts w:ascii="Verdana" w:hAnsi="Verdana" w:cs="Verdana"/>
          <w:color w:val="333333"/>
          <w:sz w:val="18"/>
          <w:szCs w:val="18"/>
        </w:rPr>
      </w:pPr>
    </w:p>
    <w:p w14:paraId="30947EF7">
      <w:pPr>
        <w:rPr>
          <w:rFonts w:ascii="Verdana" w:hAnsi="Verdana" w:cs="Verdana"/>
          <w:color w:val="000000"/>
          <w:sz w:val="28"/>
        </w:rPr>
      </w:pPr>
    </w:p>
    <w:p w14:paraId="3F9297ED">
      <w:pPr>
        <w:rPr>
          <w:rFonts w:ascii="Verdana" w:hAnsi="Verdana" w:cs="Verdana"/>
          <w:b/>
          <w:color w:val="000000"/>
          <w:sz w:val="22"/>
        </w:rPr>
      </w:pPr>
      <w:r>
        <w:rPr>
          <w:rFonts w:hint="eastAsia" w:ascii="Verdana" w:hAnsi="Verdana" w:cs="Verdana"/>
          <w:b/>
          <w:color w:val="000000"/>
          <w:sz w:val="22"/>
        </w:rPr>
        <w:t>About Us</w:t>
      </w:r>
    </w:p>
    <w:p w14:paraId="44AC68EA">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02BF337">
      <w:pPr>
        <w:rPr>
          <w:rFonts w:ascii="Verdana" w:hAnsi="Verdana" w:cs="Verdana"/>
          <w:color w:val="000000"/>
          <w:sz w:val="18"/>
        </w:rPr>
      </w:pPr>
    </w:p>
    <w:p w14:paraId="7AA4DBF2">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5D05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7F835A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AA53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D2046"/>
    <w:rsid w:val="00D24477"/>
    <w:rsid w:val="00EC39FB"/>
    <w:rsid w:val="00F268A0"/>
    <w:rsid w:val="00F714FF"/>
    <w:rsid w:val="00F7593F"/>
    <w:rsid w:val="00FC60FC"/>
    <w:rsid w:val="033D434A"/>
    <w:rsid w:val="0A680B1B"/>
    <w:rsid w:val="0E714EC9"/>
    <w:rsid w:val="0FC87CEA"/>
    <w:rsid w:val="101C4557"/>
    <w:rsid w:val="13712299"/>
    <w:rsid w:val="15C25510"/>
    <w:rsid w:val="18AE427D"/>
    <w:rsid w:val="18E81EA3"/>
    <w:rsid w:val="1B974A15"/>
    <w:rsid w:val="1CDC4CA0"/>
    <w:rsid w:val="1FCC39C5"/>
    <w:rsid w:val="20F61905"/>
    <w:rsid w:val="2199682E"/>
    <w:rsid w:val="239E3C7B"/>
    <w:rsid w:val="27B55639"/>
    <w:rsid w:val="2A752F8B"/>
    <w:rsid w:val="2C665CEA"/>
    <w:rsid w:val="2DAE5281"/>
    <w:rsid w:val="2E0F6BE8"/>
    <w:rsid w:val="31405D9F"/>
    <w:rsid w:val="314F3E41"/>
    <w:rsid w:val="315C44B3"/>
    <w:rsid w:val="35BD36AD"/>
    <w:rsid w:val="36FE11B8"/>
    <w:rsid w:val="3B533162"/>
    <w:rsid w:val="45872050"/>
    <w:rsid w:val="46842610"/>
    <w:rsid w:val="46E56078"/>
    <w:rsid w:val="478E224E"/>
    <w:rsid w:val="485E04E5"/>
    <w:rsid w:val="487316FE"/>
    <w:rsid w:val="49B75FAC"/>
    <w:rsid w:val="49E260D3"/>
    <w:rsid w:val="4E4A4BF6"/>
    <w:rsid w:val="4F8D25ED"/>
    <w:rsid w:val="5157018A"/>
    <w:rsid w:val="51AD130D"/>
    <w:rsid w:val="540A3FAB"/>
    <w:rsid w:val="562E484B"/>
    <w:rsid w:val="56834992"/>
    <w:rsid w:val="569B6847"/>
    <w:rsid w:val="56DE1840"/>
    <w:rsid w:val="56E226AA"/>
    <w:rsid w:val="5930748A"/>
    <w:rsid w:val="59933671"/>
    <w:rsid w:val="5AA83521"/>
    <w:rsid w:val="5EEA5249"/>
    <w:rsid w:val="609213A6"/>
    <w:rsid w:val="61BA6334"/>
    <w:rsid w:val="63C27F07"/>
    <w:rsid w:val="674A0280"/>
    <w:rsid w:val="68AD6386"/>
    <w:rsid w:val="69B7722D"/>
    <w:rsid w:val="6D7A6503"/>
    <w:rsid w:val="6D980D5F"/>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06I/PC-24-48.pn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06I/3EEECN_20240712151050.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Modulator/NDS3306I/Carrier-24-384M.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319</Words>
  <Characters>1810</Characters>
  <Lines>21</Lines>
  <Paragraphs>6</Paragraphs>
  <TotalTime>27</TotalTime>
  <ScaleCrop>false</ScaleCrop>
  <LinksUpToDate>false</LinksUpToDate>
  <CharactersWithSpaces>2059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2025-08-20T06:58:04Z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