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51E38">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FUQ-4419BX ATSC Modulator 256 IP Inputs 8 RF Outputs GE Ports ATSC A-53 8VSB RS(208-188) Encoding Multiplexing Web-Based Control for Broadcasting and STB Testing</w:t>
      </w:r>
      <w:bookmarkEnd w:id="0"/>
      <w:r>
        <w:rPr>
          <w:rFonts w:ascii="Verdana" w:hAnsi="Verdana" w:cs="Verdana"/>
          <w:color w:val="000000"/>
          <w:sz w:val="28"/>
        </w:rPr>
        <w:drawing>
          <wp:inline distT="0" distB="0" distL="114300" distR="114300">
            <wp:extent cx="6181725" cy="3400425"/>
            <wp:effectExtent l="0" t="0" r="9525" b="9525"/>
            <wp:docPr id="1" name="图片 1" descr="3EEECN_20181218062846"/>
            <wp:cNvGraphicFramePr/>
            <a:graphic xmlns:a="http://schemas.openxmlformats.org/drawingml/2006/main">
              <a:graphicData uri="http://schemas.openxmlformats.org/drawingml/2006/picture">
                <pic:pic xmlns:pic="http://schemas.openxmlformats.org/drawingml/2006/picture">
                  <pic:nvPicPr>
                    <pic:cNvPr id="1" name="图片 1" descr="3EEECN_20181218062846"/>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FF8C00"/>
          <w:sz w:val="18"/>
          <w:szCs w:val="18"/>
          <w:shd w:val="clear" w:color="auto" w:fill="FEFCFD"/>
        </w:rPr>
        <w:t>Product Overview</w:t>
      </w:r>
    </w:p>
    <w:p w14:paraId="02246F2D">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FUQ-4419BX is an ATSC modulator supporting up to 256 IP inputs via three GE ports and delivering 8 RF output channels. It performs multiplexing and modulation compliant with ATSC A/53, including 8VSB and RS(208,188) encoding, with web-based network management for control. Ideal for ATSC broadcasting network setup and set-top box testing.</w:t>
      </w:r>
    </w:p>
    <w:p w14:paraId="55CD35B2">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1875DD1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high-capacity IP input with up to 256 streams via three GE ports  </w:t>
      </w:r>
    </w:p>
    <w:p w14:paraId="13A5348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robust ATSC modulation compliant with ATSC A/53, featuring 8VSB and RS(208,188) encoding  </w:t>
      </w:r>
    </w:p>
    <w:p w14:paraId="4F1A4AA4">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advanced signal processing including PID remapping and PSI/SI editing  </w:t>
      </w:r>
    </w:p>
    <w:p w14:paraId="5A48D503">
      <w:pPr>
        <w:pStyle w:val="6"/>
        <w:widowControl/>
        <w:spacing w:beforeAutospacing="0" w:afterAutospacing="0" w:line="324" w:lineRule="atLeast"/>
      </w:pPr>
      <w:r>
        <w:rPr>
          <w:rFonts w:hint="eastAsia" w:ascii="Verdana" w:hAnsi="Verdana" w:cs="Verdana"/>
          <w:color w:val="333333"/>
          <w:sz w:val="18"/>
          <w:szCs w:val="18"/>
          <w:shd w:val="clear" w:color="auto" w:fill="FEFCFD"/>
        </w:rPr>
        <w:t>Features web-based network management for remote control and monitoring</w:t>
      </w:r>
      <w:r>
        <w:rPr>
          <w:rFonts w:ascii="Verdana" w:hAnsi="Verdana" w:cs="Verdana"/>
          <w:color w:val="333333"/>
          <w:sz w:val="18"/>
          <w:szCs w:val="18"/>
          <w:shd w:val="clear" w:color="auto" w:fill="FEFCFD"/>
        </w:rPr>
        <w:t> </w:t>
      </w:r>
    </w:p>
    <w:p w14:paraId="534DFFBC">
      <w:pPr>
        <w:pStyle w:val="6"/>
        <w:widowControl/>
        <w:spacing w:beforeAutospacing="0" w:afterAutospacing="0" w:line="324" w:lineRule="atLeast"/>
      </w:pPr>
      <w:r>
        <w:rPr>
          <w:rStyle w:val="10"/>
          <w:rFonts w:ascii="Verdana" w:hAnsi="Verdana" w:cs="Verdana"/>
          <w:color w:val="FF8C00"/>
          <w:sz w:val="18"/>
          <w:szCs w:val="18"/>
          <w:shd w:val="clear" w:color="auto" w:fill="FEFCFD"/>
        </w:rPr>
        <w:t>Inner Principle Chart</w:t>
      </w:r>
    </w:p>
    <w:p w14:paraId="66842656">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1736090"/>
            <wp:effectExtent l="0" t="0" r="3810" b="1651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736090"/>
                    </a:xfrm>
                    <a:prstGeom prst="rect">
                      <a:avLst/>
                    </a:prstGeom>
                    <a:noFill/>
                    <a:ln w="9525">
                      <a:noFill/>
                    </a:ln>
                  </pic:spPr>
                </pic:pic>
              </a:graphicData>
            </a:graphic>
          </wp:inline>
        </w:drawing>
      </w:r>
    </w:p>
    <w:p w14:paraId="4DDB9E31">
      <w:pPr>
        <w:pStyle w:val="6"/>
        <w:widowControl/>
        <w:spacing w:beforeAutospacing="0" w:afterAutospacing="0" w:line="324" w:lineRule="atLeast"/>
      </w:pPr>
      <w:r>
        <w:rPr>
          <w:rStyle w:val="10"/>
          <w:rFonts w:ascii="Verdana" w:hAnsi="Verdana" w:cs="Verdana"/>
          <w:color w:val="333333"/>
          <w:sz w:val="18"/>
          <w:szCs w:val="18"/>
          <w:shd w:val="clear" w:color="auto" w:fill="FEFCFD"/>
        </w:rPr>
        <w:t> </w:t>
      </w:r>
      <w:r>
        <w:rPr>
          <w:rStyle w:val="10"/>
          <w:rFonts w:ascii="Verdana" w:hAnsi="Verdana" w:cs="Verdana"/>
          <w:color w:val="FF8C00"/>
          <w:sz w:val="18"/>
          <w:szCs w:val="18"/>
          <w:shd w:val="clear" w:color="auto" w:fill="FEFCFD"/>
        </w:rPr>
        <w:t>Carrier Setting Illustration</w:t>
      </w:r>
    </w:p>
    <w:p w14:paraId="7BD10C87">
      <w:pPr>
        <w:pStyle w:val="6"/>
        <w:widowControl/>
        <w:spacing w:beforeAutospacing="0" w:afterAutospacing="0" w:line="324" w:lineRule="atLeast"/>
      </w:pPr>
      <w:r>
        <w:rPr>
          <w:rFonts w:ascii="Verdana" w:hAnsi="Verdana" w:cs="Verdana"/>
          <w:color w:val="333333"/>
          <w:sz w:val="18"/>
          <w:szCs w:val="18"/>
          <w:shd w:val="clear" w:color="auto" w:fill="FEFCFD"/>
        </w:rPr>
        <w:t> </w:t>
      </w:r>
    </w:p>
    <w:p w14:paraId="5B78442A">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3630" cy="2419350"/>
            <wp:effectExtent l="0" t="0" r="7620" b="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3630" cy="2419350"/>
                    </a:xfrm>
                    <a:prstGeom prst="rect">
                      <a:avLst/>
                    </a:prstGeom>
                    <a:noFill/>
                    <a:ln w="9525">
                      <a:noFill/>
                    </a:ln>
                  </pic:spPr>
                </pic:pic>
              </a:graphicData>
            </a:graphic>
          </wp:inline>
        </w:drawing>
      </w:r>
    </w:p>
    <w:p w14:paraId="31692D8C">
      <w:pPr>
        <w:pStyle w:val="6"/>
        <w:widowControl/>
        <w:spacing w:beforeAutospacing="0" w:afterAutospacing="0" w:line="324" w:lineRule="atLeast"/>
      </w:pPr>
      <w:r>
        <w:rPr>
          <w:rFonts w:ascii="Verdana" w:hAnsi="Verdana" w:cs="Verdana"/>
          <w:color w:val="333333"/>
          <w:sz w:val="18"/>
          <w:szCs w:val="18"/>
          <w:shd w:val="clear" w:color="auto" w:fill="FEFCFD"/>
        </w:rPr>
        <w:t> </w:t>
      </w:r>
    </w:p>
    <w:p w14:paraId="3FA37071">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21"/>
        <w:gridCol w:w="2516"/>
        <w:gridCol w:w="5313"/>
      </w:tblGrid>
      <w:tr w14:paraId="307F28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6BFF3815">
            <w:pPr>
              <w:pStyle w:val="6"/>
              <w:widowControl/>
              <w:spacing w:beforeAutospacing="0" w:afterAutospacing="0" w:line="324" w:lineRule="atLeast"/>
            </w:pPr>
            <w:r>
              <w:t>Input</w:t>
            </w:r>
          </w:p>
        </w:tc>
        <w:tc>
          <w:tcPr>
            <w:tcW w:w="2415" w:type="dxa"/>
            <w:shd w:val="clear" w:color="auto" w:fill="auto"/>
            <w:vAlign w:val="center"/>
          </w:tcPr>
          <w:p w14:paraId="00EB475A">
            <w:pPr>
              <w:pStyle w:val="6"/>
              <w:widowControl/>
              <w:spacing w:beforeAutospacing="0" w:afterAutospacing="0" w:line="324" w:lineRule="atLeast"/>
            </w:pPr>
            <w:r>
              <w:t>Input</w:t>
            </w:r>
          </w:p>
        </w:tc>
        <w:tc>
          <w:tcPr>
            <w:tcW w:w="5100" w:type="dxa"/>
            <w:shd w:val="clear" w:color="auto" w:fill="auto"/>
            <w:vAlign w:val="center"/>
          </w:tcPr>
          <w:p w14:paraId="4D1B66DA">
            <w:pPr>
              <w:pStyle w:val="6"/>
              <w:widowControl/>
              <w:spacing w:beforeAutospacing="0" w:afterAutospacing="0" w:line="324" w:lineRule="atLeast"/>
            </w:pPr>
            <w:r>
              <w:t>Max 256 IP input through 3 (front-panel Data port, Data 1 and Data 2) 100/1000M Ethernet Port (SFP interface optional). Each Data1 or Data 2 port can input max 256 IP, while front-panel Data port can input max 128 IP</w:t>
            </w:r>
          </w:p>
        </w:tc>
      </w:tr>
      <w:tr w14:paraId="067F68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2A320D9">
            <w:pPr>
              <w:jc w:val="left"/>
              <w:rPr>
                <w:rFonts w:ascii="宋体"/>
                <w:sz w:val="24"/>
                <w:szCs w:val="24"/>
              </w:rPr>
            </w:pPr>
          </w:p>
        </w:tc>
        <w:tc>
          <w:tcPr>
            <w:tcW w:w="2415" w:type="dxa"/>
            <w:shd w:val="clear" w:color="auto" w:fill="auto"/>
            <w:vAlign w:val="center"/>
          </w:tcPr>
          <w:p w14:paraId="32D21794">
            <w:pPr>
              <w:pStyle w:val="6"/>
              <w:widowControl/>
              <w:spacing w:beforeAutospacing="0" w:afterAutospacing="0" w:line="324" w:lineRule="atLeast"/>
            </w:pPr>
            <w:r>
              <w:t>Transport Protocol</w:t>
            </w:r>
          </w:p>
        </w:tc>
        <w:tc>
          <w:tcPr>
            <w:tcW w:w="5100" w:type="dxa"/>
            <w:shd w:val="clear" w:color="auto" w:fill="auto"/>
            <w:vAlign w:val="center"/>
          </w:tcPr>
          <w:p w14:paraId="73242589">
            <w:pPr>
              <w:pStyle w:val="6"/>
              <w:widowControl/>
              <w:spacing w:beforeAutospacing="0" w:afterAutospacing="0" w:line="324" w:lineRule="atLeast"/>
            </w:pPr>
            <w:r>
              <w:t>TS over UDP/RTP, unicast and multicast, IGMP V2/V3</w:t>
            </w:r>
          </w:p>
        </w:tc>
      </w:tr>
      <w:tr w14:paraId="7ABDEB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1F0257CB">
            <w:pPr>
              <w:jc w:val="left"/>
              <w:rPr>
                <w:rFonts w:ascii="宋体"/>
                <w:sz w:val="24"/>
                <w:szCs w:val="24"/>
              </w:rPr>
            </w:pPr>
          </w:p>
        </w:tc>
        <w:tc>
          <w:tcPr>
            <w:tcW w:w="2415" w:type="dxa"/>
            <w:shd w:val="clear" w:color="auto" w:fill="auto"/>
            <w:vAlign w:val="center"/>
          </w:tcPr>
          <w:p w14:paraId="69F64C06">
            <w:pPr>
              <w:pStyle w:val="6"/>
              <w:widowControl/>
              <w:spacing w:beforeAutospacing="0" w:afterAutospacing="0" w:line="324" w:lineRule="atLeast"/>
            </w:pPr>
            <w:r>
              <w:t>Transmission Rate</w:t>
            </w:r>
          </w:p>
        </w:tc>
        <w:tc>
          <w:tcPr>
            <w:tcW w:w="5100" w:type="dxa"/>
            <w:shd w:val="clear" w:color="auto" w:fill="auto"/>
            <w:vAlign w:val="center"/>
          </w:tcPr>
          <w:p w14:paraId="267F72F4">
            <w:pPr>
              <w:pStyle w:val="6"/>
              <w:widowControl/>
              <w:spacing w:beforeAutospacing="0" w:afterAutospacing="0" w:line="324" w:lineRule="atLeast"/>
            </w:pPr>
            <w:r>
              <w:t>Max 840Mbps for each input channel</w:t>
            </w:r>
          </w:p>
        </w:tc>
      </w:tr>
      <w:tr w14:paraId="7D8ADF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restart"/>
            <w:shd w:val="clear" w:color="auto" w:fill="auto"/>
            <w:vAlign w:val="center"/>
          </w:tcPr>
          <w:p w14:paraId="16A34ED6">
            <w:pPr>
              <w:pStyle w:val="6"/>
              <w:widowControl/>
              <w:spacing w:beforeAutospacing="0" w:afterAutospacing="0" w:line="324" w:lineRule="atLeast"/>
            </w:pPr>
            <w:r>
              <w:t>Mux</w:t>
            </w:r>
          </w:p>
        </w:tc>
        <w:tc>
          <w:tcPr>
            <w:tcW w:w="2415" w:type="dxa"/>
            <w:shd w:val="clear" w:color="auto" w:fill="auto"/>
            <w:vAlign w:val="center"/>
          </w:tcPr>
          <w:p w14:paraId="45279D2F">
            <w:pPr>
              <w:pStyle w:val="6"/>
              <w:widowControl/>
              <w:spacing w:beforeAutospacing="0" w:afterAutospacing="0" w:line="324" w:lineRule="atLeast"/>
            </w:pPr>
            <w:r>
              <w:t>Input Channel</w:t>
            </w:r>
          </w:p>
        </w:tc>
        <w:tc>
          <w:tcPr>
            <w:tcW w:w="5100" w:type="dxa"/>
            <w:shd w:val="clear" w:color="auto" w:fill="auto"/>
            <w:vAlign w:val="center"/>
          </w:tcPr>
          <w:p w14:paraId="0C5B7E6D">
            <w:pPr>
              <w:pStyle w:val="6"/>
              <w:widowControl/>
              <w:spacing w:beforeAutospacing="0" w:afterAutospacing="0" w:line="324" w:lineRule="atLeast"/>
            </w:pPr>
            <w:r>
              <w:t>256</w:t>
            </w:r>
          </w:p>
        </w:tc>
      </w:tr>
      <w:tr w14:paraId="0EDE71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455B0AB8">
            <w:pPr>
              <w:jc w:val="left"/>
              <w:rPr>
                <w:rFonts w:ascii="宋体"/>
                <w:sz w:val="24"/>
                <w:szCs w:val="24"/>
              </w:rPr>
            </w:pPr>
          </w:p>
        </w:tc>
        <w:tc>
          <w:tcPr>
            <w:tcW w:w="2415" w:type="dxa"/>
            <w:shd w:val="clear" w:color="auto" w:fill="auto"/>
            <w:vAlign w:val="center"/>
          </w:tcPr>
          <w:p w14:paraId="212175F8">
            <w:pPr>
              <w:pStyle w:val="6"/>
              <w:widowControl/>
              <w:spacing w:beforeAutospacing="0" w:afterAutospacing="0" w:line="324" w:lineRule="atLeast"/>
            </w:pPr>
            <w:r>
              <w:t>Output Channel</w:t>
            </w:r>
          </w:p>
        </w:tc>
        <w:tc>
          <w:tcPr>
            <w:tcW w:w="5100" w:type="dxa"/>
            <w:shd w:val="clear" w:color="auto" w:fill="auto"/>
            <w:vAlign w:val="center"/>
          </w:tcPr>
          <w:p w14:paraId="7BF0442A">
            <w:pPr>
              <w:pStyle w:val="6"/>
              <w:widowControl/>
              <w:spacing w:beforeAutospacing="0" w:afterAutospacing="0" w:line="324" w:lineRule="atLeast"/>
            </w:pPr>
            <w:r>
              <w:t>8</w:t>
            </w:r>
          </w:p>
        </w:tc>
      </w:tr>
      <w:tr w14:paraId="117D96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06F33C4A">
            <w:pPr>
              <w:jc w:val="left"/>
              <w:rPr>
                <w:rFonts w:ascii="宋体"/>
                <w:sz w:val="24"/>
                <w:szCs w:val="24"/>
              </w:rPr>
            </w:pPr>
          </w:p>
        </w:tc>
        <w:tc>
          <w:tcPr>
            <w:tcW w:w="2415" w:type="dxa"/>
            <w:shd w:val="clear" w:color="auto" w:fill="auto"/>
            <w:vAlign w:val="center"/>
          </w:tcPr>
          <w:p w14:paraId="1411607E">
            <w:pPr>
              <w:pStyle w:val="6"/>
              <w:widowControl/>
              <w:spacing w:beforeAutospacing="0" w:afterAutospacing="0" w:line="324" w:lineRule="atLeast"/>
            </w:pPr>
            <w:r>
              <w:t>Max PIDs</w:t>
            </w:r>
          </w:p>
        </w:tc>
        <w:tc>
          <w:tcPr>
            <w:tcW w:w="5100" w:type="dxa"/>
            <w:shd w:val="clear" w:color="auto" w:fill="auto"/>
            <w:vAlign w:val="center"/>
          </w:tcPr>
          <w:p w14:paraId="351CB3D8">
            <w:pPr>
              <w:pStyle w:val="6"/>
              <w:widowControl/>
              <w:spacing w:beforeAutospacing="0" w:afterAutospacing="0" w:line="324" w:lineRule="atLeast"/>
            </w:pPr>
            <w:r>
              <w:t>180 per channel</w:t>
            </w:r>
          </w:p>
        </w:tc>
      </w:tr>
      <w:tr w14:paraId="0FC2B5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3DBB6DCE">
            <w:pPr>
              <w:jc w:val="left"/>
              <w:rPr>
                <w:rFonts w:ascii="宋体"/>
                <w:sz w:val="24"/>
                <w:szCs w:val="24"/>
              </w:rPr>
            </w:pPr>
          </w:p>
        </w:tc>
        <w:tc>
          <w:tcPr>
            <w:tcW w:w="2415" w:type="dxa"/>
            <w:vMerge w:val="restart"/>
            <w:shd w:val="clear" w:color="auto" w:fill="auto"/>
            <w:vAlign w:val="center"/>
          </w:tcPr>
          <w:p w14:paraId="1F0D4F8B">
            <w:pPr>
              <w:pStyle w:val="6"/>
              <w:widowControl/>
              <w:spacing w:beforeAutospacing="0" w:afterAutospacing="0" w:line="324" w:lineRule="atLeast"/>
            </w:pPr>
            <w:r>
              <w:t>Functions</w:t>
            </w:r>
          </w:p>
        </w:tc>
        <w:tc>
          <w:tcPr>
            <w:tcW w:w="5100" w:type="dxa"/>
            <w:shd w:val="clear" w:color="auto" w:fill="auto"/>
            <w:vAlign w:val="center"/>
          </w:tcPr>
          <w:p w14:paraId="3316258D">
            <w:pPr>
              <w:pStyle w:val="6"/>
              <w:widowControl/>
              <w:spacing w:beforeAutospacing="0" w:afterAutospacing="0" w:line="324" w:lineRule="atLeast"/>
            </w:pPr>
            <w:r>
              <w:t>PID remapping(auto/manually optional)</w:t>
            </w:r>
          </w:p>
        </w:tc>
      </w:tr>
      <w:tr w14:paraId="5139FC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B98DA0F">
            <w:pPr>
              <w:jc w:val="left"/>
              <w:rPr>
                <w:rFonts w:ascii="宋体"/>
                <w:sz w:val="24"/>
                <w:szCs w:val="24"/>
              </w:rPr>
            </w:pPr>
          </w:p>
        </w:tc>
        <w:tc>
          <w:tcPr>
            <w:tcW w:w="2415" w:type="dxa"/>
            <w:vMerge w:val="continue"/>
            <w:shd w:val="clear" w:color="auto" w:fill="auto"/>
            <w:vAlign w:val="center"/>
          </w:tcPr>
          <w:p w14:paraId="4F4E7FF7">
            <w:pPr>
              <w:jc w:val="left"/>
              <w:rPr>
                <w:rFonts w:ascii="宋体"/>
                <w:sz w:val="24"/>
                <w:szCs w:val="24"/>
              </w:rPr>
            </w:pPr>
          </w:p>
        </w:tc>
        <w:tc>
          <w:tcPr>
            <w:tcW w:w="5100" w:type="dxa"/>
            <w:shd w:val="clear" w:color="auto" w:fill="auto"/>
            <w:vAlign w:val="center"/>
          </w:tcPr>
          <w:p w14:paraId="404C9B03">
            <w:pPr>
              <w:pStyle w:val="6"/>
              <w:widowControl/>
              <w:spacing w:beforeAutospacing="0" w:afterAutospacing="0" w:line="324" w:lineRule="atLeast"/>
            </w:pPr>
            <w:r>
              <w:t>PCR accurate adjusting</w:t>
            </w:r>
          </w:p>
        </w:tc>
      </w:tr>
      <w:tr w14:paraId="4B9311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2981F488">
            <w:pPr>
              <w:jc w:val="left"/>
              <w:rPr>
                <w:rFonts w:ascii="宋体"/>
                <w:sz w:val="24"/>
                <w:szCs w:val="24"/>
              </w:rPr>
            </w:pPr>
          </w:p>
        </w:tc>
        <w:tc>
          <w:tcPr>
            <w:tcW w:w="2415" w:type="dxa"/>
            <w:vMerge w:val="continue"/>
            <w:shd w:val="clear" w:color="auto" w:fill="auto"/>
            <w:vAlign w:val="center"/>
          </w:tcPr>
          <w:p w14:paraId="3610683D">
            <w:pPr>
              <w:jc w:val="left"/>
              <w:rPr>
                <w:rFonts w:ascii="宋体"/>
                <w:sz w:val="24"/>
                <w:szCs w:val="24"/>
              </w:rPr>
            </w:pPr>
          </w:p>
        </w:tc>
        <w:tc>
          <w:tcPr>
            <w:tcW w:w="5100" w:type="dxa"/>
            <w:shd w:val="clear" w:color="auto" w:fill="auto"/>
            <w:vAlign w:val="center"/>
          </w:tcPr>
          <w:p w14:paraId="46B224A8">
            <w:pPr>
              <w:pStyle w:val="6"/>
              <w:widowControl/>
              <w:spacing w:beforeAutospacing="0" w:afterAutospacing="0" w:line="324" w:lineRule="atLeast"/>
            </w:pPr>
            <w:r>
              <w:t>PSI/SI table automatically generating</w:t>
            </w:r>
          </w:p>
        </w:tc>
      </w:tr>
      <w:tr w14:paraId="048DC4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0FF083CD">
            <w:pPr>
              <w:pStyle w:val="6"/>
              <w:widowControl/>
              <w:spacing w:beforeAutospacing="0" w:afterAutospacing="0" w:line="324" w:lineRule="atLeast"/>
            </w:pPr>
            <w:r>
              <w:t>Modulation</w:t>
            </w:r>
          </w:p>
          <w:p w14:paraId="5789495F">
            <w:pPr>
              <w:pStyle w:val="6"/>
              <w:widowControl/>
              <w:spacing w:beforeAutospacing="0" w:afterAutospacing="0" w:line="324" w:lineRule="atLeast"/>
            </w:pPr>
            <w:r>
              <w:t>Parameters</w:t>
            </w:r>
          </w:p>
        </w:tc>
        <w:tc>
          <w:tcPr>
            <w:tcW w:w="2415" w:type="dxa"/>
            <w:shd w:val="clear" w:color="auto" w:fill="auto"/>
            <w:vAlign w:val="center"/>
          </w:tcPr>
          <w:p w14:paraId="4F34285D">
            <w:pPr>
              <w:pStyle w:val="6"/>
              <w:widowControl/>
              <w:spacing w:beforeAutospacing="0" w:afterAutospacing="0" w:line="324" w:lineRule="atLeast"/>
            </w:pPr>
            <w:r>
              <w:t>Channel</w:t>
            </w:r>
          </w:p>
        </w:tc>
        <w:tc>
          <w:tcPr>
            <w:tcW w:w="5100" w:type="dxa"/>
            <w:shd w:val="clear" w:color="auto" w:fill="auto"/>
            <w:vAlign w:val="center"/>
          </w:tcPr>
          <w:p w14:paraId="6BA16481">
            <w:pPr>
              <w:pStyle w:val="6"/>
              <w:widowControl/>
              <w:spacing w:beforeAutospacing="0" w:afterAutospacing="0" w:line="324" w:lineRule="atLeast"/>
              <w:ind w:left="105"/>
            </w:pPr>
            <w:r>
              <w:t>8</w:t>
            </w:r>
          </w:p>
        </w:tc>
      </w:tr>
      <w:tr w14:paraId="76071C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0B75486B">
            <w:pPr>
              <w:jc w:val="left"/>
              <w:rPr>
                <w:rFonts w:ascii="宋体"/>
                <w:sz w:val="24"/>
                <w:szCs w:val="24"/>
              </w:rPr>
            </w:pPr>
          </w:p>
        </w:tc>
        <w:tc>
          <w:tcPr>
            <w:tcW w:w="2415" w:type="dxa"/>
            <w:shd w:val="clear" w:color="auto" w:fill="auto"/>
            <w:vAlign w:val="center"/>
          </w:tcPr>
          <w:p w14:paraId="235F1E6E">
            <w:pPr>
              <w:pStyle w:val="6"/>
              <w:widowControl/>
              <w:spacing w:beforeAutospacing="0" w:afterAutospacing="0" w:line="324" w:lineRule="atLeast"/>
            </w:pPr>
            <w:r>
              <w:t>Modulation Standard</w:t>
            </w:r>
          </w:p>
        </w:tc>
        <w:tc>
          <w:tcPr>
            <w:tcW w:w="5100" w:type="dxa"/>
            <w:shd w:val="clear" w:color="auto" w:fill="auto"/>
            <w:vAlign w:val="center"/>
          </w:tcPr>
          <w:p w14:paraId="26A929C4">
            <w:pPr>
              <w:pStyle w:val="6"/>
              <w:widowControl/>
              <w:spacing w:beforeAutospacing="0" w:afterAutospacing="0" w:line="324" w:lineRule="atLeast"/>
            </w:pPr>
            <w:r>
              <w:t>ATSC A/53</w:t>
            </w:r>
          </w:p>
        </w:tc>
      </w:tr>
      <w:tr w14:paraId="508AEA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FC861F4">
            <w:pPr>
              <w:jc w:val="left"/>
              <w:rPr>
                <w:rFonts w:ascii="宋体"/>
                <w:sz w:val="24"/>
                <w:szCs w:val="24"/>
              </w:rPr>
            </w:pPr>
          </w:p>
        </w:tc>
        <w:tc>
          <w:tcPr>
            <w:tcW w:w="2415" w:type="dxa"/>
            <w:shd w:val="clear" w:color="auto" w:fill="auto"/>
            <w:vAlign w:val="center"/>
          </w:tcPr>
          <w:p w14:paraId="7D7AE902">
            <w:pPr>
              <w:pStyle w:val="6"/>
              <w:widowControl/>
              <w:spacing w:beforeAutospacing="0" w:afterAutospacing="0" w:line="324" w:lineRule="atLeast"/>
            </w:pPr>
            <w:r>
              <w:t>Constellation</w:t>
            </w:r>
          </w:p>
        </w:tc>
        <w:tc>
          <w:tcPr>
            <w:tcW w:w="5100" w:type="dxa"/>
            <w:shd w:val="clear" w:color="auto" w:fill="auto"/>
            <w:vAlign w:val="center"/>
          </w:tcPr>
          <w:p w14:paraId="52BBDC41">
            <w:pPr>
              <w:pStyle w:val="6"/>
              <w:widowControl/>
              <w:spacing w:beforeAutospacing="0" w:afterAutospacing="0" w:line="324" w:lineRule="atLeast"/>
            </w:pPr>
            <w:r>
              <w:t>8VSB</w:t>
            </w:r>
          </w:p>
        </w:tc>
      </w:tr>
      <w:tr w14:paraId="211E79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112B7F3D">
            <w:pPr>
              <w:jc w:val="left"/>
              <w:rPr>
                <w:rFonts w:ascii="宋体"/>
                <w:sz w:val="24"/>
                <w:szCs w:val="24"/>
              </w:rPr>
            </w:pPr>
          </w:p>
        </w:tc>
        <w:tc>
          <w:tcPr>
            <w:tcW w:w="2415" w:type="dxa"/>
            <w:shd w:val="clear" w:color="auto" w:fill="auto"/>
            <w:vAlign w:val="center"/>
          </w:tcPr>
          <w:p w14:paraId="16467C99">
            <w:pPr>
              <w:pStyle w:val="6"/>
              <w:widowControl/>
              <w:spacing w:beforeAutospacing="0" w:afterAutospacing="0" w:line="324" w:lineRule="atLeast"/>
            </w:pPr>
            <w:r>
              <w:t>Bandwidth</w:t>
            </w:r>
          </w:p>
        </w:tc>
        <w:tc>
          <w:tcPr>
            <w:tcW w:w="5100" w:type="dxa"/>
            <w:shd w:val="clear" w:color="auto" w:fill="auto"/>
            <w:vAlign w:val="center"/>
          </w:tcPr>
          <w:p w14:paraId="01F354DA">
            <w:pPr>
              <w:pStyle w:val="6"/>
              <w:widowControl/>
              <w:spacing w:beforeAutospacing="0" w:afterAutospacing="0" w:line="324" w:lineRule="atLeast"/>
            </w:pPr>
            <w:r>
              <w:t>6MHz</w:t>
            </w:r>
          </w:p>
        </w:tc>
      </w:tr>
      <w:tr w14:paraId="217D70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67A65F35">
            <w:pPr>
              <w:jc w:val="left"/>
              <w:rPr>
                <w:rFonts w:ascii="宋体"/>
                <w:sz w:val="24"/>
                <w:szCs w:val="24"/>
              </w:rPr>
            </w:pPr>
          </w:p>
        </w:tc>
        <w:tc>
          <w:tcPr>
            <w:tcW w:w="2415" w:type="dxa"/>
            <w:shd w:val="clear" w:color="auto" w:fill="auto"/>
            <w:vAlign w:val="center"/>
          </w:tcPr>
          <w:p w14:paraId="6876A413">
            <w:pPr>
              <w:pStyle w:val="6"/>
              <w:widowControl/>
              <w:spacing w:beforeAutospacing="0" w:afterAutospacing="0" w:line="324" w:lineRule="atLeast"/>
            </w:pPr>
            <w:r>
              <w:t>FEC</w:t>
            </w:r>
          </w:p>
        </w:tc>
        <w:tc>
          <w:tcPr>
            <w:tcW w:w="5100" w:type="dxa"/>
            <w:shd w:val="clear" w:color="auto" w:fill="auto"/>
            <w:vAlign w:val="center"/>
          </w:tcPr>
          <w:p w14:paraId="3294EE17">
            <w:pPr>
              <w:pStyle w:val="6"/>
              <w:widowControl/>
              <w:spacing w:beforeAutospacing="0" w:afterAutospacing="0" w:line="324" w:lineRule="atLeast"/>
            </w:pPr>
            <w:r>
              <w:t>RS(208 188)+Trellis</w:t>
            </w:r>
          </w:p>
        </w:tc>
      </w:tr>
      <w:tr w14:paraId="18C8A7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489480BC">
            <w:pPr>
              <w:pStyle w:val="6"/>
              <w:widowControl/>
              <w:spacing w:beforeAutospacing="0" w:afterAutospacing="0" w:line="324" w:lineRule="atLeast"/>
            </w:pPr>
            <w:r>
              <w:t>RF Output</w:t>
            </w:r>
          </w:p>
        </w:tc>
        <w:tc>
          <w:tcPr>
            <w:tcW w:w="2415" w:type="dxa"/>
            <w:shd w:val="clear" w:color="auto" w:fill="auto"/>
            <w:vAlign w:val="center"/>
          </w:tcPr>
          <w:p w14:paraId="76FC89B3">
            <w:pPr>
              <w:pStyle w:val="6"/>
              <w:widowControl/>
              <w:spacing w:beforeAutospacing="0" w:afterAutospacing="0" w:line="324" w:lineRule="atLeast"/>
            </w:pPr>
            <w:r>
              <w:t>Interface</w:t>
            </w:r>
          </w:p>
        </w:tc>
        <w:tc>
          <w:tcPr>
            <w:tcW w:w="5100" w:type="dxa"/>
            <w:shd w:val="clear" w:color="auto" w:fill="auto"/>
            <w:vAlign w:val="center"/>
          </w:tcPr>
          <w:p w14:paraId="0F3F8296">
            <w:pPr>
              <w:pStyle w:val="6"/>
              <w:widowControl/>
              <w:spacing w:beforeAutospacing="0" w:afterAutospacing="0" w:line="324" w:lineRule="atLeast"/>
            </w:pPr>
            <w:r>
              <w:t>F typed output port for 8 non-adjacent carriers</w:t>
            </w:r>
          </w:p>
        </w:tc>
      </w:tr>
      <w:tr w14:paraId="0E2FFC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07C698A1">
            <w:pPr>
              <w:jc w:val="left"/>
              <w:rPr>
                <w:rFonts w:ascii="宋体"/>
                <w:sz w:val="24"/>
                <w:szCs w:val="24"/>
              </w:rPr>
            </w:pPr>
          </w:p>
        </w:tc>
        <w:tc>
          <w:tcPr>
            <w:tcW w:w="2415" w:type="dxa"/>
            <w:shd w:val="clear" w:color="auto" w:fill="auto"/>
            <w:vAlign w:val="center"/>
          </w:tcPr>
          <w:p w14:paraId="28E660D3">
            <w:pPr>
              <w:pStyle w:val="6"/>
              <w:widowControl/>
              <w:spacing w:beforeAutospacing="0" w:afterAutospacing="0" w:line="324" w:lineRule="atLeast"/>
            </w:pPr>
            <w:r>
              <w:t>RF Range</w:t>
            </w:r>
          </w:p>
        </w:tc>
        <w:tc>
          <w:tcPr>
            <w:tcW w:w="5100" w:type="dxa"/>
            <w:shd w:val="clear" w:color="auto" w:fill="auto"/>
            <w:vAlign w:val="center"/>
          </w:tcPr>
          <w:p w14:paraId="1FC7C5BC">
            <w:pPr>
              <w:pStyle w:val="6"/>
              <w:widowControl/>
              <w:spacing w:beforeAutospacing="0" w:afterAutospacing="0" w:line="324" w:lineRule="atLeast"/>
            </w:pPr>
            <w:r>
              <w:t>50~960MHz, 1kHz stepping</w:t>
            </w:r>
          </w:p>
        </w:tc>
      </w:tr>
      <w:tr w14:paraId="03786B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715F28C1">
            <w:pPr>
              <w:jc w:val="left"/>
              <w:rPr>
                <w:rFonts w:ascii="宋体"/>
                <w:sz w:val="24"/>
                <w:szCs w:val="24"/>
              </w:rPr>
            </w:pPr>
          </w:p>
        </w:tc>
        <w:tc>
          <w:tcPr>
            <w:tcW w:w="2415" w:type="dxa"/>
            <w:shd w:val="clear" w:color="auto" w:fill="auto"/>
            <w:vAlign w:val="center"/>
          </w:tcPr>
          <w:p w14:paraId="03A198E5">
            <w:pPr>
              <w:pStyle w:val="6"/>
              <w:widowControl/>
              <w:spacing w:beforeAutospacing="0" w:afterAutospacing="0" w:line="324" w:lineRule="atLeast"/>
            </w:pPr>
            <w:r>
              <w:t>Output Level</w:t>
            </w:r>
          </w:p>
        </w:tc>
        <w:tc>
          <w:tcPr>
            <w:tcW w:w="5100" w:type="dxa"/>
            <w:shd w:val="clear" w:color="auto" w:fill="auto"/>
            <w:vAlign w:val="center"/>
          </w:tcPr>
          <w:p w14:paraId="1B4820F4">
            <w:pPr>
              <w:pStyle w:val="6"/>
              <w:widowControl/>
              <w:spacing w:beforeAutospacing="0" w:afterAutospacing="0" w:line="324" w:lineRule="atLeast"/>
            </w:pPr>
            <w:r>
              <w:t>-20~+10dbm (for all carriers), 0.5db stepping</w:t>
            </w:r>
          </w:p>
        </w:tc>
      </w:tr>
      <w:tr w14:paraId="0EABC1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1BAF4F21">
            <w:pPr>
              <w:jc w:val="left"/>
              <w:rPr>
                <w:rFonts w:ascii="宋体"/>
                <w:sz w:val="24"/>
                <w:szCs w:val="24"/>
              </w:rPr>
            </w:pPr>
          </w:p>
        </w:tc>
        <w:tc>
          <w:tcPr>
            <w:tcW w:w="2415" w:type="dxa"/>
            <w:shd w:val="clear" w:color="auto" w:fill="auto"/>
            <w:vAlign w:val="center"/>
          </w:tcPr>
          <w:p w14:paraId="671CB0A5">
            <w:pPr>
              <w:pStyle w:val="6"/>
              <w:widowControl/>
              <w:spacing w:beforeAutospacing="0" w:afterAutospacing="0" w:line="324" w:lineRule="atLeast"/>
            </w:pPr>
            <w:r>
              <w:t>MER</w:t>
            </w:r>
          </w:p>
        </w:tc>
        <w:tc>
          <w:tcPr>
            <w:tcW w:w="5100" w:type="dxa"/>
            <w:shd w:val="clear" w:color="auto" w:fill="auto"/>
            <w:vAlign w:val="center"/>
          </w:tcPr>
          <w:p w14:paraId="2B78606E">
            <w:pPr>
              <w:pStyle w:val="6"/>
              <w:widowControl/>
              <w:spacing w:beforeAutospacing="0" w:afterAutospacing="0" w:line="324" w:lineRule="atLeast"/>
            </w:pPr>
            <w:r>
              <w:t>≥ 40dB</w:t>
            </w:r>
          </w:p>
        </w:tc>
      </w:tr>
      <w:tr w14:paraId="7E1D1D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2E460E3F">
            <w:pPr>
              <w:jc w:val="left"/>
              <w:rPr>
                <w:rFonts w:ascii="宋体"/>
                <w:sz w:val="24"/>
                <w:szCs w:val="24"/>
              </w:rPr>
            </w:pPr>
          </w:p>
        </w:tc>
        <w:tc>
          <w:tcPr>
            <w:tcW w:w="2415" w:type="dxa"/>
            <w:shd w:val="clear" w:color="auto" w:fill="auto"/>
            <w:vAlign w:val="center"/>
          </w:tcPr>
          <w:p w14:paraId="26EEB699">
            <w:pPr>
              <w:pStyle w:val="6"/>
              <w:widowControl/>
              <w:spacing w:beforeAutospacing="0" w:afterAutospacing="0" w:line="324" w:lineRule="atLeast"/>
            </w:pPr>
            <w:r>
              <w:t>ACL</w:t>
            </w:r>
          </w:p>
        </w:tc>
        <w:tc>
          <w:tcPr>
            <w:tcW w:w="5100" w:type="dxa"/>
            <w:shd w:val="clear" w:color="auto" w:fill="auto"/>
            <w:vAlign w:val="center"/>
          </w:tcPr>
          <w:p w14:paraId="75D6242C">
            <w:pPr>
              <w:pStyle w:val="6"/>
              <w:widowControl/>
              <w:spacing w:beforeAutospacing="0" w:afterAutospacing="0" w:line="324" w:lineRule="atLeast"/>
            </w:pPr>
            <w:r>
              <w:t>-55 dBc</w:t>
            </w:r>
          </w:p>
        </w:tc>
      </w:tr>
      <w:tr w14:paraId="450E2C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5D6423C8">
            <w:pPr>
              <w:pStyle w:val="6"/>
              <w:widowControl/>
              <w:spacing w:beforeAutospacing="0" w:afterAutospacing="0" w:line="324" w:lineRule="atLeast"/>
            </w:pPr>
            <w:r>
              <w:t>TS output</w:t>
            </w:r>
          </w:p>
        </w:tc>
        <w:tc>
          <w:tcPr>
            <w:tcW w:w="7515" w:type="dxa"/>
            <w:gridSpan w:val="2"/>
            <w:shd w:val="clear" w:color="auto" w:fill="auto"/>
            <w:vAlign w:val="center"/>
          </w:tcPr>
          <w:p w14:paraId="3164ABE5">
            <w:pPr>
              <w:pStyle w:val="6"/>
              <w:widowControl/>
              <w:spacing w:beforeAutospacing="0" w:afterAutospacing="0" w:line="324" w:lineRule="atLeast"/>
              <w:ind w:left="105"/>
            </w:pPr>
            <w:r>
              <w:t>8 IP output over UDP/RTP/RTSP, unicast/multicast, 2 100/1000M Ethernet Ports</w:t>
            </w:r>
          </w:p>
        </w:tc>
      </w:tr>
      <w:tr w14:paraId="761E02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6F492EEB">
            <w:pPr>
              <w:pStyle w:val="6"/>
              <w:widowControl/>
              <w:spacing w:beforeAutospacing="0" w:afterAutospacing="0" w:line="324" w:lineRule="atLeast"/>
            </w:pPr>
            <w:r>
              <w:t>System</w:t>
            </w:r>
          </w:p>
        </w:tc>
        <w:tc>
          <w:tcPr>
            <w:tcW w:w="7515" w:type="dxa"/>
            <w:gridSpan w:val="2"/>
            <w:shd w:val="clear" w:color="auto" w:fill="auto"/>
            <w:vAlign w:val="center"/>
          </w:tcPr>
          <w:p w14:paraId="707A969B">
            <w:pPr>
              <w:pStyle w:val="6"/>
              <w:widowControl/>
              <w:spacing w:beforeAutospacing="0" w:afterAutospacing="0" w:line="324" w:lineRule="atLeast"/>
              <w:ind w:left="105"/>
            </w:pPr>
            <w:r>
              <w:t>Web-based Network management</w:t>
            </w:r>
          </w:p>
        </w:tc>
      </w:tr>
      <w:tr w14:paraId="497CC0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393F478B">
            <w:pPr>
              <w:pStyle w:val="6"/>
              <w:widowControl/>
              <w:spacing w:beforeAutospacing="0" w:afterAutospacing="0" w:line="324" w:lineRule="atLeast"/>
            </w:pPr>
            <w:r>
              <w:t>General</w:t>
            </w:r>
          </w:p>
        </w:tc>
        <w:tc>
          <w:tcPr>
            <w:tcW w:w="2415" w:type="dxa"/>
            <w:shd w:val="clear" w:color="auto" w:fill="auto"/>
            <w:vAlign w:val="center"/>
          </w:tcPr>
          <w:p w14:paraId="1CB69A0D">
            <w:pPr>
              <w:pStyle w:val="6"/>
              <w:widowControl/>
              <w:spacing w:beforeAutospacing="0" w:afterAutospacing="0" w:line="324" w:lineRule="atLeast"/>
              <w:ind w:left="105"/>
            </w:pPr>
            <w:r>
              <w:t>Demission</w:t>
            </w:r>
          </w:p>
        </w:tc>
        <w:tc>
          <w:tcPr>
            <w:tcW w:w="5100" w:type="dxa"/>
            <w:shd w:val="clear" w:color="auto" w:fill="auto"/>
            <w:vAlign w:val="center"/>
          </w:tcPr>
          <w:p w14:paraId="14A06812">
            <w:pPr>
              <w:pStyle w:val="6"/>
              <w:widowControl/>
              <w:spacing w:beforeAutospacing="0" w:afterAutospacing="0" w:line="324" w:lineRule="atLeast"/>
              <w:ind w:left="105"/>
            </w:pPr>
            <w:r>
              <w:t>420mm×440mm×44.5mm (WxLxH)</w:t>
            </w:r>
          </w:p>
        </w:tc>
      </w:tr>
      <w:tr w14:paraId="75D3F0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353963F3">
            <w:pPr>
              <w:jc w:val="left"/>
              <w:rPr>
                <w:rFonts w:ascii="宋体"/>
                <w:sz w:val="24"/>
                <w:szCs w:val="24"/>
              </w:rPr>
            </w:pPr>
          </w:p>
        </w:tc>
        <w:tc>
          <w:tcPr>
            <w:tcW w:w="2415" w:type="dxa"/>
            <w:shd w:val="clear" w:color="auto" w:fill="auto"/>
            <w:vAlign w:val="center"/>
          </w:tcPr>
          <w:p w14:paraId="14D84D0D">
            <w:pPr>
              <w:pStyle w:val="6"/>
              <w:widowControl/>
              <w:spacing w:beforeAutospacing="0" w:afterAutospacing="0" w:line="324" w:lineRule="atLeast"/>
              <w:ind w:left="105"/>
            </w:pPr>
            <w:r>
              <w:t>Weight</w:t>
            </w:r>
          </w:p>
        </w:tc>
        <w:tc>
          <w:tcPr>
            <w:tcW w:w="5100" w:type="dxa"/>
            <w:shd w:val="clear" w:color="auto" w:fill="auto"/>
            <w:vAlign w:val="center"/>
          </w:tcPr>
          <w:p w14:paraId="4609E403">
            <w:pPr>
              <w:pStyle w:val="6"/>
              <w:widowControl/>
              <w:spacing w:beforeAutospacing="0" w:afterAutospacing="0" w:line="324" w:lineRule="atLeast"/>
              <w:ind w:left="105"/>
            </w:pPr>
            <w:r>
              <w:t>3kg</w:t>
            </w:r>
          </w:p>
        </w:tc>
      </w:tr>
      <w:tr w14:paraId="3FE7ED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26245490">
            <w:pPr>
              <w:jc w:val="left"/>
              <w:rPr>
                <w:rFonts w:ascii="宋体"/>
                <w:sz w:val="24"/>
                <w:szCs w:val="24"/>
              </w:rPr>
            </w:pPr>
          </w:p>
        </w:tc>
        <w:tc>
          <w:tcPr>
            <w:tcW w:w="2415" w:type="dxa"/>
            <w:shd w:val="clear" w:color="auto" w:fill="auto"/>
            <w:vAlign w:val="center"/>
          </w:tcPr>
          <w:p w14:paraId="77957A23">
            <w:pPr>
              <w:pStyle w:val="6"/>
              <w:widowControl/>
              <w:spacing w:beforeAutospacing="0" w:afterAutospacing="0" w:line="324" w:lineRule="atLeast"/>
              <w:ind w:left="105"/>
            </w:pPr>
            <w:r>
              <w:t>Temperature</w:t>
            </w:r>
          </w:p>
        </w:tc>
        <w:tc>
          <w:tcPr>
            <w:tcW w:w="5100" w:type="dxa"/>
            <w:shd w:val="clear" w:color="auto" w:fill="auto"/>
            <w:vAlign w:val="center"/>
          </w:tcPr>
          <w:p w14:paraId="61EEE07A">
            <w:pPr>
              <w:pStyle w:val="6"/>
              <w:widowControl/>
              <w:spacing w:beforeAutospacing="0" w:afterAutospacing="0" w:line="324" w:lineRule="atLeast"/>
              <w:ind w:left="105"/>
            </w:pPr>
            <w:r>
              <w:t>0~45℃(operation), -20~80℃(storage)</w:t>
            </w:r>
          </w:p>
        </w:tc>
      </w:tr>
      <w:tr w14:paraId="7E69FF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7B0F6355">
            <w:pPr>
              <w:jc w:val="left"/>
              <w:rPr>
                <w:rFonts w:ascii="宋体"/>
                <w:sz w:val="24"/>
                <w:szCs w:val="24"/>
              </w:rPr>
            </w:pPr>
          </w:p>
        </w:tc>
        <w:tc>
          <w:tcPr>
            <w:tcW w:w="2415" w:type="dxa"/>
            <w:shd w:val="clear" w:color="auto" w:fill="auto"/>
            <w:vAlign w:val="center"/>
          </w:tcPr>
          <w:p w14:paraId="5B3B941E">
            <w:pPr>
              <w:pStyle w:val="6"/>
              <w:widowControl/>
              <w:spacing w:beforeAutospacing="0" w:afterAutospacing="0" w:line="324" w:lineRule="atLeast"/>
              <w:ind w:left="105"/>
            </w:pPr>
            <w:r>
              <w:t>Power Supply</w:t>
            </w:r>
          </w:p>
        </w:tc>
        <w:tc>
          <w:tcPr>
            <w:tcW w:w="5100" w:type="dxa"/>
            <w:shd w:val="clear" w:color="auto" w:fill="auto"/>
            <w:vAlign w:val="center"/>
          </w:tcPr>
          <w:p w14:paraId="4D4C4E04">
            <w:pPr>
              <w:pStyle w:val="6"/>
              <w:widowControl/>
              <w:spacing w:beforeAutospacing="0" w:afterAutospacing="0" w:line="324" w:lineRule="atLeast"/>
              <w:ind w:left="105"/>
            </w:pPr>
            <w:r>
              <w:t>AC 100V±10%, 50/60Hz or AC 220V±10%, 50/60Hz</w:t>
            </w:r>
          </w:p>
        </w:tc>
      </w:tr>
      <w:tr w14:paraId="3690B7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2A55792C">
            <w:pPr>
              <w:jc w:val="left"/>
              <w:rPr>
                <w:rFonts w:ascii="宋体"/>
                <w:sz w:val="24"/>
                <w:szCs w:val="24"/>
              </w:rPr>
            </w:pPr>
          </w:p>
        </w:tc>
        <w:tc>
          <w:tcPr>
            <w:tcW w:w="2415" w:type="dxa"/>
            <w:shd w:val="clear" w:color="auto" w:fill="auto"/>
            <w:vAlign w:val="center"/>
          </w:tcPr>
          <w:p w14:paraId="1495C80D">
            <w:pPr>
              <w:pStyle w:val="6"/>
              <w:widowControl/>
              <w:spacing w:beforeAutospacing="0" w:afterAutospacing="0" w:line="324" w:lineRule="atLeast"/>
              <w:ind w:left="105"/>
            </w:pPr>
            <w:r>
              <w:t>Consumption</w:t>
            </w:r>
          </w:p>
        </w:tc>
        <w:tc>
          <w:tcPr>
            <w:tcW w:w="5100" w:type="dxa"/>
            <w:shd w:val="clear" w:color="auto" w:fill="auto"/>
            <w:vAlign w:val="center"/>
          </w:tcPr>
          <w:p w14:paraId="647C2874">
            <w:pPr>
              <w:pStyle w:val="6"/>
              <w:widowControl/>
              <w:spacing w:beforeAutospacing="0" w:afterAutospacing="0" w:line="324" w:lineRule="atLeast"/>
              <w:ind w:left="105"/>
            </w:pPr>
            <w:r>
              <w:t>≤20W</w:t>
            </w:r>
          </w:p>
        </w:tc>
      </w:tr>
    </w:tbl>
    <w:p w14:paraId="427B99E4">
      <w:pPr>
        <w:pStyle w:val="6"/>
        <w:widowControl/>
        <w:spacing w:beforeAutospacing="0" w:afterAutospacing="0" w:line="324" w:lineRule="atLeast"/>
      </w:pPr>
      <w:r>
        <w:rPr>
          <w:rFonts w:ascii="Verdana" w:hAnsi="Verdana" w:cs="Verdana"/>
          <w:color w:val="333333"/>
          <w:sz w:val="18"/>
          <w:szCs w:val="18"/>
          <w:shd w:val="clear" w:color="auto" w:fill="FEFCFD"/>
        </w:rPr>
        <w:t> </w:t>
      </w:r>
    </w:p>
    <w:p w14:paraId="549F7F55">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7F8088D7">
      <w:pPr>
        <w:pStyle w:val="6"/>
        <w:widowControl/>
        <w:spacing w:beforeAutospacing="0" w:afterAutospacing="0" w:line="324" w:lineRule="atLeast"/>
      </w:pPr>
      <w:r>
        <w:rPr>
          <w:rFonts w:ascii="Verdana" w:hAnsi="Verdana" w:cs="Verdana"/>
          <w:color w:val="333333"/>
          <w:sz w:val="18"/>
          <w:szCs w:val="18"/>
          <w:shd w:val="clear" w:color="auto" w:fill="FEFCFD"/>
        </w:rPr>
        <w:t> </w:t>
      </w:r>
    </w:p>
    <w:p w14:paraId="7C601C75">
      <w:pPr>
        <w:widowControl/>
        <w:shd w:val="clear" w:color="auto" w:fill="F2F2F4"/>
        <w:jc w:val="left"/>
        <w:rPr>
          <w:rFonts w:ascii="Verdana" w:hAnsi="Verdana" w:cs="Verdana"/>
          <w:color w:val="333333"/>
          <w:sz w:val="18"/>
          <w:szCs w:val="18"/>
        </w:rPr>
      </w:pPr>
    </w:p>
    <w:p w14:paraId="21524DC5">
      <w:pPr>
        <w:rPr>
          <w:rFonts w:ascii="Verdana" w:hAnsi="Verdana" w:cs="Verdana"/>
          <w:color w:val="000000"/>
          <w:sz w:val="28"/>
        </w:rPr>
      </w:pPr>
    </w:p>
    <w:p w14:paraId="43C6A3CA">
      <w:pPr>
        <w:rPr>
          <w:rFonts w:ascii="Verdana" w:hAnsi="Verdana" w:cs="Verdana"/>
          <w:b/>
          <w:color w:val="000000"/>
          <w:sz w:val="22"/>
        </w:rPr>
      </w:pPr>
      <w:r>
        <w:rPr>
          <w:rFonts w:hint="eastAsia" w:ascii="Verdana" w:hAnsi="Verdana" w:cs="Verdana"/>
          <w:b/>
          <w:color w:val="000000"/>
          <w:sz w:val="22"/>
        </w:rPr>
        <w:t>About Us</w:t>
      </w:r>
    </w:p>
    <w:p w14:paraId="077062B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A20848F">
      <w:pPr>
        <w:rPr>
          <w:rFonts w:ascii="Verdana" w:hAnsi="Verdana" w:cs="Verdana"/>
          <w:color w:val="000000"/>
          <w:sz w:val="18"/>
        </w:rPr>
      </w:pPr>
    </w:p>
    <w:p w14:paraId="6D09FC9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8A90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CD7914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6DB3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2C09"/>
    <w:rsid w:val="007349B0"/>
    <w:rsid w:val="007359E2"/>
    <w:rsid w:val="0077681E"/>
    <w:rsid w:val="008D6808"/>
    <w:rsid w:val="00914A79"/>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3667479"/>
    <w:rsid w:val="15C25510"/>
    <w:rsid w:val="18AE427D"/>
    <w:rsid w:val="18E81EA3"/>
    <w:rsid w:val="19D407F1"/>
    <w:rsid w:val="1B974A15"/>
    <w:rsid w:val="1CDC4CA0"/>
    <w:rsid w:val="1FCC39C5"/>
    <w:rsid w:val="20F61905"/>
    <w:rsid w:val="2199682E"/>
    <w:rsid w:val="2235109D"/>
    <w:rsid w:val="239E3C7B"/>
    <w:rsid w:val="27B55639"/>
    <w:rsid w:val="2A752F8B"/>
    <w:rsid w:val="2C665CEA"/>
    <w:rsid w:val="2E0F6BE8"/>
    <w:rsid w:val="300F3068"/>
    <w:rsid w:val="314F3E41"/>
    <w:rsid w:val="37273381"/>
    <w:rsid w:val="3B533162"/>
    <w:rsid w:val="3D537C60"/>
    <w:rsid w:val="44F0634F"/>
    <w:rsid w:val="45872050"/>
    <w:rsid w:val="47405517"/>
    <w:rsid w:val="478E224E"/>
    <w:rsid w:val="485E04E5"/>
    <w:rsid w:val="487316FE"/>
    <w:rsid w:val="49B75FAC"/>
    <w:rsid w:val="4E4A4BF6"/>
    <w:rsid w:val="4F1B3F4D"/>
    <w:rsid w:val="4F8D25ED"/>
    <w:rsid w:val="51AD130D"/>
    <w:rsid w:val="540A3FAB"/>
    <w:rsid w:val="562E484B"/>
    <w:rsid w:val="56834992"/>
    <w:rsid w:val="5930748A"/>
    <w:rsid w:val="59933671"/>
    <w:rsid w:val="5AA83521"/>
    <w:rsid w:val="5DAA2373"/>
    <w:rsid w:val="5EEA5249"/>
    <w:rsid w:val="609213A6"/>
    <w:rsid w:val="61BA6334"/>
    <w:rsid w:val="63C27F07"/>
    <w:rsid w:val="661C0240"/>
    <w:rsid w:val="68AD6386"/>
    <w:rsid w:val="6D7A6503"/>
    <w:rsid w:val="6E305F44"/>
    <w:rsid w:val="70757613"/>
    <w:rsid w:val="70B756B4"/>
    <w:rsid w:val="73270F88"/>
    <w:rsid w:val="74455F31"/>
    <w:rsid w:val="7540100C"/>
    <w:rsid w:val="77935A18"/>
    <w:rsid w:val="7A583734"/>
    <w:rsid w:val="7B534814"/>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08C/3EEECN_20160906024131.pn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08AT/3EEECN_20181218062856.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351</Words>
  <Characters>2088</Characters>
  <Lines>19</Lines>
  <Paragraphs>5</Paragraphs>
  <TotalTime>27</TotalTime>
  <ScaleCrop>false</ScaleCrop>
  <LinksUpToDate>false</LinksUpToDate>
  <CharactersWithSpaces>2387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2025-08-20T06:57:40Z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