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E44831">
      <w:pPr>
        <w:pStyle w:val="6"/>
        <w:widowControl/>
        <w:spacing w:beforeAutospacing="0" w:afterAutospacing="0" w:line="324" w:lineRule="atLeast"/>
        <w:jc w:val="center"/>
      </w:pPr>
      <w:r>
        <w:rPr>
          <w:rFonts w:hint="eastAsia" w:ascii="Verdana" w:hAnsi="Verdana" w:cs="Verdana"/>
          <w:b/>
          <w:i w:val="0"/>
          <w:strike w:val="0"/>
          <w:color w:val="000000"/>
          <w:sz w:val="28"/>
          <w:lang w:eastAsia="zh-CN"/>
        </w:rPr>
        <w:t>FMUSER FUQ-4419R V2 DVB-T Modulator 8-16 Carriers 1024 IP Inputs 6 ASI Inputs ETSI EN300 744 PID Remapping Web-Based Management for DTV</w:t>
      </w:r>
      <w:r>
        <w:rPr>
          <w:rFonts w:hint="eastAsia" w:ascii="Verdana" w:hAnsi="Verdana" w:cs="Verdana"/>
          <w:b/>
          <w:i w:val="0"/>
          <w:strike w:val="0"/>
          <w:color w:val="000000"/>
          <w:sz w:val="28"/>
          <w:lang w:val="en-US" w:eastAsia="zh-CN"/>
        </w:rPr>
        <w:t xml:space="preserve"> </w:t>
      </w:r>
      <w:r>
        <w:rPr>
          <w:rFonts w:hint="eastAsia" w:ascii="Verdana" w:hAnsi="Verdana" w:cs="Verdana"/>
          <w:b/>
          <w:i w:val="0"/>
          <w:strike w:val="0"/>
          <w:color w:val="000000"/>
          <w:sz w:val="28"/>
          <w:lang w:eastAsia="zh-CN"/>
        </w:rPr>
        <w:t>Headends</w:t>
      </w:r>
      <w:bookmarkStart w:id="1" w:name="_GoBack"/>
      <w:bookmarkEnd w:id="1"/>
      <w:r>
        <w:rPr>
          <w:rFonts w:hint="eastAsia" w:ascii="Verdana" w:hAnsi="Verdana" w:cs="Verdana"/>
          <w:b/>
          <w:i w:val="0"/>
          <w:strike w:val="0"/>
          <w:color w:val="000000"/>
          <w:sz w:val="28"/>
          <w:lang w:eastAsia="zh-CN"/>
        </w:rPr>
        <w:t xml:space="preserve"> </w:t>
      </w:r>
      <w:r>
        <w:rPr>
          <w:rFonts w:ascii="Verdana" w:hAnsi="Verdana" w:cs="Verdana"/>
          <w:color w:val="000000"/>
          <w:sz w:val="28"/>
        </w:rPr>
        <w:drawing>
          <wp:inline distT="0" distB="0" distL="114300" distR="114300">
            <wp:extent cx="6172200" cy="3390900"/>
            <wp:effectExtent l="0" t="0" r="0" b="0"/>
            <wp:docPr id="1" name="图片 1" descr="3308T%20V2"/>
            <wp:cNvGraphicFramePr/>
            <a:graphic xmlns:a="http://schemas.openxmlformats.org/drawingml/2006/main">
              <a:graphicData uri="http://schemas.openxmlformats.org/drawingml/2006/picture">
                <pic:pic xmlns:pic="http://schemas.openxmlformats.org/drawingml/2006/picture">
                  <pic:nvPicPr>
                    <pic:cNvPr id="1" name="图片 1" descr="3308T%20V2"/>
                    <pic:cNvPicPr/>
                  </pic:nvPicPr>
                  <pic:blipFill>
                    <a:blip r:embed="rId6"/>
                    <a:stretch>
                      <a:fillRect/>
                    </a:stretch>
                  </pic:blipFill>
                  <pic:spPr>
                    <a:xfrm>
                      <a:off x="0" y="0"/>
                      <a:ext cx="6172200" cy="3390900"/>
                    </a:xfrm>
                    <a:prstGeom prst="rect">
                      <a:avLst/>
                    </a:prstGeom>
                  </pic:spPr>
                </pic:pic>
              </a:graphicData>
            </a:graphic>
          </wp:inline>
        </w:drawing>
      </w:r>
      <w:r>
        <w:rPr>
          <w:rFonts w:ascii="Verdana" w:hAnsi="Verdana" w:cs="Verdana"/>
          <w:b/>
          <w:bCs/>
          <w:color w:val="333333"/>
          <w:sz w:val="18"/>
          <w:szCs w:val="18"/>
          <w:shd w:val="clear" w:color="auto" w:fill="FEFCFD"/>
        </w:rPr>
        <w:t>Product Overview</w:t>
      </w:r>
    </w:p>
    <w:p w14:paraId="2A8CE8F5">
      <w:pPr>
        <w:pStyle w:val="6"/>
        <w:widowControl/>
        <w:spacing w:beforeAutospacing="0" w:afterAutospacing="0" w:line="324" w:lineRule="atLeast"/>
      </w:pPr>
      <w:r>
        <w:rPr>
          <w:rFonts w:hint="eastAsia" w:ascii="Verdana" w:hAnsi="Verdana" w:cs="Verdana"/>
          <w:color w:val="333333"/>
          <w:sz w:val="18"/>
          <w:szCs w:val="18"/>
          <w:shd w:val="clear" w:color="auto" w:fill="FEFCFD"/>
          <w:lang w:eastAsia="zh-CN"/>
        </w:rPr>
        <w:t>The FMUSER FUQ-4419R (V2) is a high-density DVB-T modulator converting IP inputs to RF outputs. It processes signals via modulation with inputs including max 1024 IP streams through 4 GE/SFP ports and 6 ASI inputs. Controlled through web-based management for seamless operation. Ideal for next-generation DTV broadcasting systems and cable headends.</w:t>
      </w:r>
      <w:r>
        <w:rPr>
          <w:rFonts w:ascii="Verdana" w:hAnsi="Verdana" w:cs="Verdana"/>
          <w:color w:val="333333"/>
          <w:sz w:val="18"/>
          <w:szCs w:val="18"/>
          <w:shd w:val="clear" w:color="auto" w:fill="FEFCFD"/>
        </w:rPr>
        <w:t> </w:t>
      </w:r>
    </w:p>
    <w:p w14:paraId="29DA620A">
      <w:pPr>
        <w:pStyle w:val="6"/>
        <w:widowControl/>
        <w:spacing w:beforeAutospacing="0" w:afterAutospacing="0" w:line="324" w:lineRule="atLeast"/>
        <w:rPr>
          <w:rFonts w:hint="eastAsia" w:eastAsiaTheme="minorEastAsia"/>
          <w:b/>
          <w:bCs/>
          <w:lang w:eastAsia="zh-CN"/>
        </w:rPr>
      </w:pPr>
      <w:r>
        <w:rPr>
          <w:rFonts w:hint="eastAsia" w:ascii="Verdana" w:hAnsi="Verdana" w:cs="Verdana"/>
          <w:b/>
          <w:bCs/>
          <w:color w:val="333333"/>
          <w:sz w:val="18"/>
          <w:szCs w:val="18"/>
          <w:shd w:val="clear" w:color="auto" w:fill="FEFCFD"/>
          <w:lang w:eastAsia="zh-CN"/>
        </w:rPr>
        <w:t>Key feature</w:t>
      </w:r>
    </w:p>
    <w:p w14:paraId="4EE29BA0">
      <w:pPr>
        <w:pStyle w:val="6"/>
        <w:widowControl/>
        <w:spacing w:beforeAutospacing="0" w:afterAutospacing="0" w:line="324" w:lineRule="atLeast"/>
        <w:rPr>
          <w:rFonts w:hint="eastAsia" w:ascii="Verdana" w:hAnsi="Verdana" w:cs="Verdana"/>
          <w:color w:val="333333"/>
          <w:sz w:val="18"/>
          <w:szCs w:val="18"/>
          <w:shd w:val="clear" w:color="auto" w:fill="FEFCFD"/>
        </w:rPr>
      </w:pPr>
      <w:bookmarkStart w:id="0" w:name="OLE_LINK1"/>
      <w:bookmarkEnd w:id="0"/>
      <w:r>
        <w:rPr>
          <w:rFonts w:hint="eastAsia" w:ascii="Verdana" w:hAnsi="Verdana" w:cs="Verdana"/>
          <w:color w:val="333333"/>
          <w:sz w:val="18"/>
          <w:szCs w:val="18"/>
          <w:shd w:val="clear" w:color="auto" w:fill="FEFCFD"/>
        </w:rPr>
        <w:t xml:space="preserve">Supports high-capacity input with up to 1024 IP streams via 4 GE/SFP ports and 6 ASI inputs.  </w:t>
      </w:r>
    </w:p>
    <w:p w14:paraId="392931DB">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Delivers flexible modulation for 8 or 16 DVB-T carriers compliant with ETSI EN300 744.  </w:t>
      </w:r>
    </w:p>
    <w:p w14:paraId="0C81BC36">
      <w:pPr>
        <w:pStyle w:val="6"/>
        <w:widowControl/>
        <w:spacing w:beforeAutospacing="0" w:afterAutospacing="0" w:line="324" w:lineRule="atLeast"/>
        <w:rPr>
          <w:rFonts w:hint="eastAsia" w:ascii="Verdana" w:hAnsi="Verdana" w:cs="Verdana"/>
          <w:color w:val="333333"/>
          <w:sz w:val="18"/>
          <w:szCs w:val="18"/>
          <w:shd w:val="clear" w:color="auto" w:fill="FEFCFD"/>
        </w:rPr>
      </w:pPr>
      <w:r>
        <w:rPr>
          <w:rFonts w:hint="eastAsia" w:ascii="Verdana" w:hAnsi="Verdana" w:cs="Verdana"/>
          <w:color w:val="333333"/>
          <w:sz w:val="18"/>
          <w:szCs w:val="18"/>
          <w:shd w:val="clear" w:color="auto" w:fill="FEFCFD"/>
        </w:rPr>
        <w:t xml:space="preserve">Enables advanced processing including PID remapping, PCR adjustment, and PSI/SI editing.  </w:t>
      </w:r>
    </w:p>
    <w:p w14:paraId="7FEF4677">
      <w:pPr>
        <w:pStyle w:val="6"/>
        <w:widowControl/>
        <w:spacing w:beforeAutospacing="0" w:afterAutospacing="0" w:line="324" w:lineRule="atLeast"/>
      </w:pPr>
      <w:r>
        <w:rPr>
          <w:rFonts w:hint="eastAsia" w:ascii="Verdana" w:hAnsi="Verdana" w:cs="Verdana"/>
          <w:color w:val="333333"/>
          <w:sz w:val="18"/>
          <w:szCs w:val="18"/>
          <w:shd w:val="clear" w:color="auto" w:fill="FEFCFD"/>
        </w:rPr>
        <w:t>Features web-based management for easy configuration and monitoring.</w:t>
      </w:r>
    </w:p>
    <w:p w14:paraId="12AFC79B">
      <w:pPr>
        <w:pStyle w:val="6"/>
        <w:widowControl/>
        <w:spacing w:beforeAutospacing="0" w:afterAutospacing="0" w:line="324" w:lineRule="atLeast"/>
      </w:pPr>
      <w:r>
        <w:rPr>
          <w:rFonts w:ascii="Verdana" w:hAnsi="Verdana" w:cs="Verdana"/>
          <w:color w:val="333333"/>
          <w:sz w:val="18"/>
          <w:szCs w:val="18"/>
          <w:shd w:val="clear" w:color="auto" w:fill="FEFCFD"/>
        </w:rPr>
        <w:t>Inner Principle Chart</w:t>
      </w:r>
    </w:p>
    <w:p w14:paraId="0098B0E8">
      <w:pPr>
        <w:pStyle w:val="6"/>
        <w:widowControl/>
        <w:spacing w:beforeAutospacing="0" w:afterAutospacing="0" w:line="324" w:lineRule="atLeast"/>
      </w:pPr>
      <w:r>
        <w:rPr>
          <w:rFonts w:ascii="Verdana" w:hAnsi="Verdana" w:cs="Verdana"/>
          <w:color w:val="333333"/>
          <w:sz w:val="18"/>
          <w:szCs w:val="18"/>
          <w:shd w:val="clear" w:color="auto" w:fill="FEFCFD"/>
        </w:rPr>
        <w:t>For 8 carriers out:</w:t>
      </w:r>
    </w:p>
    <w:p w14:paraId="733B16BD">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6170" cy="3804285"/>
            <wp:effectExtent l="0" t="0" r="5080" b="5715"/>
            <wp:docPr id="6" name="图片 1" descr="IMG_256">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descr="IMG_256"/>
                    <pic:cNvPicPr>
                      <a:picLocks noChangeAspect="1"/>
                    </pic:cNvPicPr>
                  </pic:nvPicPr>
                  <pic:blipFill>
                    <a:blip r:embed="rId8"/>
                    <a:stretch>
                      <a:fillRect/>
                    </a:stretch>
                  </pic:blipFill>
                  <pic:spPr>
                    <a:xfrm>
                      <a:off x="0" y="0"/>
                      <a:ext cx="6186170" cy="3804285"/>
                    </a:xfrm>
                    <a:prstGeom prst="rect">
                      <a:avLst/>
                    </a:prstGeom>
                    <a:noFill/>
                    <a:ln w="9525">
                      <a:noFill/>
                    </a:ln>
                  </pic:spPr>
                </pic:pic>
              </a:graphicData>
            </a:graphic>
          </wp:inline>
        </w:drawing>
      </w:r>
    </w:p>
    <w:p w14:paraId="4513A40B">
      <w:pPr>
        <w:pStyle w:val="6"/>
        <w:widowControl/>
        <w:spacing w:beforeAutospacing="0" w:afterAutospacing="0" w:line="324" w:lineRule="atLeast"/>
      </w:pPr>
      <w:r>
        <w:rPr>
          <w:rFonts w:ascii="Verdana" w:hAnsi="Verdana" w:cs="Verdana"/>
          <w:color w:val="333333"/>
          <w:sz w:val="18"/>
          <w:szCs w:val="18"/>
          <w:shd w:val="clear" w:color="auto" w:fill="FEFCFD"/>
        </w:rPr>
        <w:t> </w:t>
      </w:r>
    </w:p>
    <w:p w14:paraId="20122E14">
      <w:pPr>
        <w:pStyle w:val="6"/>
        <w:widowControl/>
        <w:spacing w:beforeAutospacing="0" w:afterAutospacing="0" w:line="324" w:lineRule="atLeast"/>
      </w:pPr>
      <w:r>
        <w:rPr>
          <w:rFonts w:ascii="Verdana" w:hAnsi="Verdana" w:cs="Verdana"/>
          <w:color w:val="333333"/>
          <w:sz w:val="18"/>
          <w:szCs w:val="18"/>
          <w:shd w:val="clear" w:color="auto" w:fill="FEFCFD"/>
        </w:rPr>
        <w:t>For 16 carriers out:</w:t>
      </w:r>
    </w:p>
    <w:p w14:paraId="314D82EA">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79185" cy="3788410"/>
            <wp:effectExtent l="0" t="0" r="12065" b="2540"/>
            <wp:docPr id="2" name="图片 2" descr="IMG_257">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IMG_257"/>
                    <pic:cNvPicPr>
                      <a:picLocks noChangeAspect="1"/>
                    </pic:cNvPicPr>
                  </pic:nvPicPr>
                  <pic:blipFill>
                    <a:blip r:embed="rId10"/>
                    <a:stretch>
                      <a:fillRect/>
                    </a:stretch>
                  </pic:blipFill>
                  <pic:spPr>
                    <a:xfrm>
                      <a:off x="0" y="0"/>
                      <a:ext cx="6179185" cy="3788410"/>
                    </a:xfrm>
                    <a:prstGeom prst="rect">
                      <a:avLst/>
                    </a:prstGeom>
                    <a:noFill/>
                    <a:ln w="9525">
                      <a:noFill/>
                    </a:ln>
                  </pic:spPr>
                </pic:pic>
              </a:graphicData>
            </a:graphic>
          </wp:inline>
        </w:drawing>
      </w:r>
    </w:p>
    <w:p w14:paraId="6673ABD0">
      <w:pPr>
        <w:pStyle w:val="6"/>
        <w:widowControl/>
        <w:spacing w:beforeAutospacing="0" w:afterAutospacing="0" w:line="324" w:lineRule="atLeast"/>
      </w:pPr>
      <w:r>
        <w:rPr>
          <w:rFonts w:ascii="Verdana" w:hAnsi="Verdana" w:cs="Verdana"/>
          <w:color w:val="333333"/>
          <w:sz w:val="18"/>
          <w:szCs w:val="18"/>
          <w:shd w:val="clear" w:color="auto" w:fill="FEFCFD"/>
        </w:rPr>
        <w:t> </w:t>
      </w:r>
    </w:p>
    <w:p w14:paraId="0BB882B2">
      <w:pPr>
        <w:pStyle w:val="6"/>
        <w:widowControl/>
        <w:spacing w:beforeAutospacing="0" w:afterAutospacing="0" w:line="324" w:lineRule="atLeast"/>
      </w:pPr>
      <w:r>
        <w:rPr>
          <w:rFonts w:ascii="Verdana" w:hAnsi="Verdana" w:cs="Verdana"/>
          <w:color w:val="333333"/>
          <w:sz w:val="18"/>
          <w:szCs w:val="18"/>
          <w:shd w:val="clear" w:color="auto" w:fill="FEFCFD"/>
        </w:rPr>
        <w:t> </w:t>
      </w:r>
    </w:p>
    <w:p w14:paraId="26593AE0">
      <w:pPr>
        <w:pStyle w:val="6"/>
        <w:widowControl/>
        <w:spacing w:beforeAutospacing="0" w:afterAutospacing="0" w:line="324" w:lineRule="atLeast"/>
      </w:pPr>
      <w:r>
        <w:rPr>
          <w:rFonts w:ascii="Verdana" w:hAnsi="Verdana" w:cs="Verdana"/>
          <w:color w:val="333333"/>
          <w:sz w:val="18"/>
          <w:szCs w:val="18"/>
          <w:shd w:val="clear" w:color="auto" w:fill="FEFCFD"/>
        </w:rPr>
        <w:t>Carrier Setting Illustration:</w:t>
      </w:r>
    </w:p>
    <w:p w14:paraId="6A90C5C1">
      <w:pPr>
        <w:pStyle w:val="6"/>
        <w:widowControl/>
        <w:spacing w:beforeAutospacing="0" w:afterAutospacing="0" w:line="324" w:lineRule="atLeast"/>
        <w:jc w:val="center"/>
      </w:pPr>
      <w:r>
        <w:rPr>
          <w:rFonts w:ascii="Verdana" w:hAnsi="Verdana" w:cs="Verdana"/>
          <w:color w:val="333333"/>
          <w:sz w:val="18"/>
          <w:szCs w:val="18"/>
          <w:shd w:val="clear" w:color="auto" w:fill="FEFCFD"/>
        </w:rPr>
        <w:drawing>
          <wp:inline distT="0" distB="0" distL="114300" distR="114300">
            <wp:extent cx="6188075" cy="2526030"/>
            <wp:effectExtent l="0" t="0" r="3175" b="7620"/>
            <wp:docPr id="3" name="图片 3" descr="IMG_258">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IMG_258"/>
                    <pic:cNvPicPr>
                      <a:picLocks noChangeAspect="1"/>
                    </pic:cNvPicPr>
                  </pic:nvPicPr>
                  <pic:blipFill>
                    <a:blip r:embed="rId12"/>
                    <a:stretch>
                      <a:fillRect/>
                    </a:stretch>
                  </pic:blipFill>
                  <pic:spPr>
                    <a:xfrm>
                      <a:off x="0" y="0"/>
                      <a:ext cx="6188075" cy="2526030"/>
                    </a:xfrm>
                    <a:prstGeom prst="rect">
                      <a:avLst/>
                    </a:prstGeom>
                    <a:noFill/>
                    <a:ln w="9525">
                      <a:noFill/>
                    </a:ln>
                  </pic:spPr>
                </pic:pic>
              </a:graphicData>
            </a:graphic>
          </wp:inline>
        </w:drawing>
      </w:r>
    </w:p>
    <w:p w14:paraId="3EE7A4CA">
      <w:pPr>
        <w:pStyle w:val="6"/>
        <w:widowControl/>
        <w:spacing w:beforeAutospacing="0" w:afterAutospacing="0" w:line="324" w:lineRule="atLeast"/>
      </w:pPr>
      <w:r>
        <w:rPr>
          <w:rFonts w:ascii="Verdana" w:hAnsi="Verdana" w:cs="Verdana"/>
          <w:color w:val="333333"/>
          <w:sz w:val="18"/>
          <w:szCs w:val="18"/>
          <w:shd w:val="clear" w:color="auto" w:fill="FEFCFD"/>
        </w:rPr>
        <w:t> </w:t>
      </w:r>
    </w:p>
    <w:p w14:paraId="217C17F0">
      <w:pPr>
        <w:pStyle w:val="6"/>
        <w:widowControl/>
        <w:spacing w:beforeAutospacing="0" w:afterAutospacing="0" w:line="324" w:lineRule="atLeast"/>
      </w:pPr>
      <w:r>
        <w:rPr>
          <w:rFonts w:ascii="Verdana" w:hAnsi="Verdana" w:cs="Verdana"/>
          <w:color w:val="333333"/>
          <w:sz w:val="18"/>
          <w:szCs w:val="18"/>
          <w:shd w:val="clear" w:color="auto" w:fill="FEFCFD"/>
        </w:rPr>
        <w:t>Specifications</w:t>
      </w:r>
    </w:p>
    <w:tbl>
      <w:tblPr>
        <w:tblStyle w:val="7"/>
        <w:tblW w:w="9750" w:type="dxa"/>
        <w:tblCellSpacing w:w="0" w:type="dxa"/>
        <w:tblInd w:w="15"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15" w:type="dxa"/>
          <w:left w:w="15" w:type="dxa"/>
          <w:bottom w:w="15" w:type="dxa"/>
          <w:right w:w="15" w:type="dxa"/>
        </w:tblCellMar>
      </w:tblPr>
      <w:tblGrid>
        <w:gridCol w:w="1203"/>
        <w:gridCol w:w="1627"/>
        <w:gridCol w:w="6920"/>
      </w:tblGrid>
      <w:tr w14:paraId="1AD80D13">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33A57E85">
            <w:pPr>
              <w:pStyle w:val="6"/>
              <w:widowControl/>
              <w:spacing w:beforeAutospacing="0" w:afterAutospacing="0" w:line="324" w:lineRule="atLeast"/>
            </w:pPr>
            <w:r>
              <w:t>Input</w:t>
            </w:r>
          </w:p>
        </w:tc>
        <w:tc>
          <w:tcPr>
            <w:tcW w:w="0" w:type="auto"/>
            <w:vMerge w:val="restart"/>
            <w:shd w:val="clear" w:color="auto" w:fill="auto"/>
            <w:vAlign w:val="center"/>
          </w:tcPr>
          <w:p w14:paraId="0E89EA78">
            <w:pPr>
              <w:pStyle w:val="6"/>
              <w:widowControl/>
              <w:spacing w:beforeAutospacing="0" w:afterAutospacing="0" w:line="324" w:lineRule="atLeast"/>
            </w:pPr>
            <w:r>
              <w:t>Input</w:t>
            </w:r>
          </w:p>
        </w:tc>
        <w:tc>
          <w:tcPr>
            <w:tcW w:w="0" w:type="auto"/>
            <w:shd w:val="clear" w:color="auto" w:fill="auto"/>
            <w:vAlign w:val="center"/>
          </w:tcPr>
          <w:p w14:paraId="0A845E48">
            <w:pPr>
              <w:pStyle w:val="6"/>
              <w:widowControl/>
              <w:spacing w:beforeAutospacing="0" w:afterAutospacing="0" w:line="324" w:lineRule="atLeast"/>
            </w:pPr>
            <w:r>
              <w:t>8 DVB-T carriers: Max 512 IP input through Date1-Date4 100/1000M Ethernet Port (or SFP interface optional). Each Data port can input max 512 IP.</w:t>
            </w:r>
          </w:p>
          <w:p w14:paraId="4ADC21AE">
            <w:pPr>
              <w:pStyle w:val="6"/>
              <w:widowControl/>
              <w:spacing w:beforeAutospacing="0" w:afterAutospacing="0" w:line="324" w:lineRule="atLeast"/>
            </w:pPr>
            <w:r>
              <w:t>16 DVB-T carriers: Max 1024 IP input through Date1-Date4 100/1000M Ethernet Port (or SFP interface optional). Each Data port can input max 1024 IP.</w:t>
            </w:r>
          </w:p>
        </w:tc>
      </w:tr>
      <w:tr w14:paraId="54EFE38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9BECF0B">
            <w:pPr>
              <w:jc w:val="left"/>
              <w:rPr>
                <w:rFonts w:ascii="宋体"/>
                <w:sz w:val="24"/>
                <w:szCs w:val="24"/>
              </w:rPr>
            </w:pPr>
          </w:p>
        </w:tc>
        <w:tc>
          <w:tcPr>
            <w:tcW w:w="0" w:type="auto"/>
            <w:vMerge w:val="continue"/>
            <w:shd w:val="clear" w:color="auto" w:fill="auto"/>
            <w:vAlign w:val="center"/>
          </w:tcPr>
          <w:p w14:paraId="36609DA5">
            <w:pPr>
              <w:jc w:val="left"/>
              <w:rPr>
                <w:rFonts w:ascii="宋体"/>
                <w:sz w:val="24"/>
                <w:szCs w:val="24"/>
              </w:rPr>
            </w:pPr>
          </w:p>
        </w:tc>
        <w:tc>
          <w:tcPr>
            <w:tcW w:w="0" w:type="auto"/>
            <w:shd w:val="clear" w:color="auto" w:fill="auto"/>
            <w:vAlign w:val="center"/>
          </w:tcPr>
          <w:p w14:paraId="4069139D">
            <w:pPr>
              <w:pStyle w:val="6"/>
              <w:widowControl/>
              <w:spacing w:beforeAutospacing="0" w:afterAutospacing="0" w:line="324" w:lineRule="atLeast"/>
            </w:pPr>
            <w:r>
              <w:t>6 ASI input, BNC interface</w:t>
            </w:r>
          </w:p>
        </w:tc>
      </w:tr>
      <w:tr w14:paraId="70F5880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3754FB2">
            <w:pPr>
              <w:jc w:val="left"/>
              <w:rPr>
                <w:rFonts w:ascii="宋体"/>
                <w:sz w:val="24"/>
                <w:szCs w:val="24"/>
              </w:rPr>
            </w:pPr>
          </w:p>
        </w:tc>
        <w:tc>
          <w:tcPr>
            <w:tcW w:w="0" w:type="auto"/>
            <w:shd w:val="clear" w:color="auto" w:fill="auto"/>
            <w:vAlign w:val="center"/>
          </w:tcPr>
          <w:p w14:paraId="1B464E36">
            <w:pPr>
              <w:pStyle w:val="6"/>
              <w:widowControl/>
              <w:spacing w:beforeAutospacing="0" w:afterAutospacing="0" w:line="324" w:lineRule="atLeast"/>
            </w:pPr>
            <w:r>
              <w:t>Transport Protocol</w:t>
            </w:r>
          </w:p>
        </w:tc>
        <w:tc>
          <w:tcPr>
            <w:tcW w:w="0" w:type="auto"/>
            <w:shd w:val="clear" w:color="auto" w:fill="auto"/>
            <w:vAlign w:val="center"/>
          </w:tcPr>
          <w:p w14:paraId="1C74D4EA">
            <w:pPr>
              <w:pStyle w:val="6"/>
              <w:widowControl/>
              <w:spacing w:beforeAutospacing="0" w:afterAutospacing="0" w:line="324" w:lineRule="atLeast"/>
            </w:pPr>
            <w:r>
              <w:t>TS over UDP/RTP, unicast and multicast, IGMP V2/V3</w:t>
            </w:r>
          </w:p>
        </w:tc>
      </w:tr>
      <w:tr w14:paraId="3044A8C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DA13983">
            <w:pPr>
              <w:jc w:val="left"/>
              <w:rPr>
                <w:rFonts w:ascii="宋体"/>
                <w:sz w:val="24"/>
                <w:szCs w:val="24"/>
              </w:rPr>
            </w:pPr>
          </w:p>
        </w:tc>
        <w:tc>
          <w:tcPr>
            <w:tcW w:w="0" w:type="auto"/>
            <w:shd w:val="clear" w:color="auto" w:fill="auto"/>
            <w:vAlign w:val="center"/>
          </w:tcPr>
          <w:p w14:paraId="0DA483EA">
            <w:pPr>
              <w:pStyle w:val="6"/>
              <w:widowControl/>
              <w:spacing w:beforeAutospacing="0" w:afterAutospacing="0" w:line="324" w:lineRule="atLeast"/>
            </w:pPr>
            <w:r>
              <w:t>Transmission Rate</w:t>
            </w:r>
          </w:p>
        </w:tc>
        <w:tc>
          <w:tcPr>
            <w:tcW w:w="0" w:type="auto"/>
            <w:shd w:val="clear" w:color="auto" w:fill="auto"/>
            <w:vAlign w:val="center"/>
          </w:tcPr>
          <w:p w14:paraId="76402A36">
            <w:pPr>
              <w:pStyle w:val="6"/>
              <w:widowControl/>
              <w:spacing w:beforeAutospacing="0" w:afterAutospacing="0" w:line="324" w:lineRule="atLeast"/>
            </w:pPr>
            <w:r>
              <w:t>Max 840Mbps for each input channel</w:t>
            </w:r>
          </w:p>
        </w:tc>
      </w:tr>
      <w:tr w14:paraId="79BB9A7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537C1C11">
            <w:pPr>
              <w:pStyle w:val="6"/>
              <w:widowControl/>
              <w:spacing w:beforeAutospacing="0" w:afterAutospacing="0" w:line="324" w:lineRule="atLeast"/>
            </w:pPr>
            <w:r>
              <w:t>Mux</w:t>
            </w:r>
          </w:p>
        </w:tc>
        <w:tc>
          <w:tcPr>
            <w:tcW w:w="0" w:type="auto"/>
            <w:shd w:val="clear" w:color="auto" w:fill="auto"/>
            <w:vAlign w:val="center"/>
          </w:tcPr>
          <w:p w14:paraId="7A1E3093">
            <w:pPr>
              <w:pStyle w:val="6"/>
              <w:widowControl/>
              <w:spacing w:beforeAutospacing="0" w:afterAutospacing="0" w:line="324" w:lineRule="atLeast"/>
            </w:pPr>
            <w:r>
              <w:t>Input Channel</w:t>
            </w:r>
          </w:p>
        </w:tc>
        <w:tc>
          <w:tcPr>
            <w:tcW w:w="0" w:type="auto"/>
            <w:shd w:val="clear" w:color="auto" w:fill="auto"/>
            <w:vAlign w:val="center"/>
          </w:tcPr>
          <w:p w14:paraId="40F6E093">
            <w:pPr>
              <w:pStyle w:val="6"/>
              <w:widowControl/>
              <w:spacing w:beforeAutospacing="0" w:afterAutospacing="0" w:line="324" w:lineRule="atLeast"/>
            </w:pPr>
            <w:r>
              <w:t>512(or 1024)</w:t>
            </w:r>
          </w:p>
        </w:tc>
      </w:tr>
      <w:tr w14:paraId="7BCAEDE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CAEB96F">
            <w:pPr>
              <w:jc w:val="left"/>
              <w:rPr>
                <w:rFonts w:ascii="宋体"/>
                <w:sz w:val="24"/>
                <w:szCs w:val="24"/>
              </w:rPr>
            </w:pPr>
          </w:p>
        </w:tc>
        <w:tc>
          <w:tcPr>
            <w:tcW w:w="0" w:type="auto"/>
            <w:shd w:val="clear" w:color="auto" w:fill="auto"/>
            <w:vAlign w:val="center"/>
          </w:tcPr>
          <w:p w14:paraId="1C285F11">
            <w:pPr>
              <w:pStyle w:val="6"/>
              <w:widowControl/>
              <w:spacing w:beforeAutospacing="0" w:afterAutospacing="0" w:line="324" w:lineRule="atLeast"/>
            </w:pPr>
            <w:r>
              <w:t>Output Channel</w:t>
            </w:r>
          </w:p>
        </w:tc>
        <w:tc>
          <w:tcPr>
            <w:tcW w:w="0" w:type="auto"/>
            <w:shd w:val="clear" w:color="auto" w:fill="auto"/>
            <w:vAlign w:val="center"/>
          </w:tcPr>
          <w:p w14:paraId="02E29172">
            <w:pPr>
              <w:pStyle w:val="6"/>
              <w:widowControl/>
              <w:spacing w:beforeAutospacing="0" w:afterAutospacing="0" w:line="324" w:lineRule="atLeast"/>
            </w:pPr>
            <w:r>
              <w:t>8 (or 16)</w:t>
            </w:r>
          </w:p>
        </w:tc>
      </w:tr>
      <w:tr w14:paraId="1BD13035">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F967B98">
            <w:pPr>
              <w:jc w:val="left"/>
              <w:rPr>
                <w:rFonts w:ascii="宋体"/>
                <w:sz w:val="24"/>
                <w:szCs w:val="24"/>
              </w:rPr>
            </w:pPr>
          </w:p>
        </w:tc>
        <w:tc>
          <w:tcPr>
            <w:tcW w:w="0" w:type="auto"/>
            <w:shd w:val="clear" w:color="auto" w:fill="auto"/>
            <w:vAlign w:val="center"/>
          </w:tcPr>
          <w:p w14:paraId="49464277">
            <w:pPr>
              <w:pStyle w:val="6"/>
              <w:widowControl/>
              <w:spacing w:beforeAutospacing="0" w:afterAutospacing="0" w:line="324" w:lineRule="atLeast"/>
            </w:pPr>
            <w:r>
              <w:t>Max PIDs</w:t>
            </w:r>
          </w:p>
        </w:tc>
        <w:tc>
          <w:tcPr>
            <w:tcW w:w="0" w:type="auto"/>
            <w:shd w:val="clear" w:color="auto" w:fill="auto"/>
            <w:vAlign w:val="center"/>
          </w:tcPr>
          <w:p w14:paraId="36277308">
            <w:pPr>
              <w:pStyle w:val="6"/>
              <w:widowControl/>
              <w:spacing w:beforeAutospacing="0" w:afterAutospacing="0" w:line="324" w:lineRule="atLeast"/>
            </w:pPr>
            <w:r>
              <w:t>256 per channel</w:t>
            </w:r>
          </w:p>
        </w:tc>
      </w:tr>
      <w:tr w14:paraId="2819E33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C11BFA1">
            <w:pPr>
              <w:jc w:val="left"/>
              <w:rPr>
                <w:rFonts w:ascii="宋体"/>
                <w:sz w:val="24"/>
                <w:szCs w:val="24"/>
              </w:rPr>
            </w:pPr>
          </w:p>
        </w:tc>
        <w:tc>
          <w:tcPr>
            <w:tcW w:w="0" w:type="auto"/>
            <w:vMerge w:val="restart"/>
            <w:shd w:val="clear" w:color="auto" w:fill="auto"/>
            <w:vAlign w:val="center"/>
          </w:tcPr>
          <w:p w14:paraId="003F5D90">
            <w:pPr>
              <w:pStyle w:val="6"/>
              <w:widowControl/>
              <w:spacing w:beforeAutospacing="0" w:afterAutospacing="0" w:line="324" w:lineRule="atLeast"/>
            </w:pPr>
            <w:r>
              <w:t>Functions</w:t>
            </w:r>
          </w:p>
        </w:tc>
        <w:tc>
          <w:tcPr>
            <w:tcW w:w="0" w:type="auto"/>
            <w:shd w:val="clear" w:color="auto" w:fill="auto"/>
            <w:vAlign w:val="center"/>
          </w:tcPr>
          <w:p w14:paraId="4471F15F">
            <w:pPr>
              <w:pStyle w:val="6"/>
              <w:widowControl/>
              <w:spacing w:beforeAutospacing="0" w:afterAutospacing="0" w:line="324" w:lineRule="atLeast"/>
            </w:pPr>
            <w:r>
              <w:t>PID remapping(auto/manually optional)</w:t>
            </w:r>
          </w:p>
        </w:tc>
      </w:tr>
      <w:tr w14:paraId="7023C994">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2204562A">
            <w:pPr>
              <w:jc w:val="left"/>
              <w:rPr>
                <w:rFonts w:ascii="宋体"/>
                <w:sz w:val="24"/>
                <w:szCs w:val="24"/>
              </w:rPr>
            </w:pPr>
          </w:p>
        </w:tc>
        <w:tc>
          <w:tcPr>
            <w:tcW w:w="0" w:type="auto"/>
            <w:vMerge w:val="continue"/>
            <w:shd w:val="clear" w:color="auto" w:fill="auto"/>
            <w:vAlign w:val="center"/>
          </w:tcPr>
          <w:p w14:paraId="52F5CFFE">
            <w:pPr>
              <w:jc w:val="left"/>
              <w:rPr>
                <w:rFonts w:ascii="宋体"/>
                <w:sz w:val="24"/>
                <w:szCs w:val="24"/>
              </w:rPr>
            </w:pPr>
          </w:p>
        </w:tc>
        <w:tc>
          <w:tcPr>
            <w:tcW w:w="0" w:type="auto"/>
            <w:shd w:val="clear" w:color="auto" w:fill="auto"/>
            <w:vAlign w:val="center"/>
          </w:tcPr>
          <w:p w14:paraId="50A8CF3B">
            <w:pPr>
              <w:pStyle w:val="6"/>
              <w:widowControl/>
              <w:spacing w:beforeAutospacing="0" w:afterAutospacing="0" w:line="324" w:lineRule="atLeast"/>
            </w:pPr>
            <w:r>
              <w:t>PCR accurate adjusting</w:t>
            </w:r>
          </w:p>
        </w:tc>
      </w:tr>
      <w:tr w14:paraId="4FC1546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8F505B0">
            <w:pPr>
              <w:jc w:val="left"/>
              <w:rPr>
                <w:rFonts w:ascii="宋体"/>
                <w:sz w:val="24"/>
                <w:szCs w:val="24"/>
              </w:rPr>
            </w:pPr>
          </w:p>
        </w:tc>
        <w:tc>
          <w:tcPr>
            <w:tcW w:w="0" w:type="auto"/>
            <w:vMerge w:val="continue"/>
            <w:shd w:val="clear" w:color="auto" w:fill="auto"/>
            <w:vAlign w:val="center"/>
          </w:tcPr>
          <w:p w14:paraId="230DA490">
            <w:pPr>
              <w:jc w:val="left"/>
              <w:rPr>
                <w:rFonts w:ascii="宋体"/>
                <w:sz w:val="24"/>
                <w:szCs w:val="24"/>
              </w:rPr>
            </w:pPr>
          </w:p>
        </w:tc>
        <w:tc>
          <w:tcPr>
            <w:tcW w:w="0" w:type="auto"/>
            <w:shd w:val="clear" w:color="auto" w:fill="auto"/>
            <w:vAlign w:val="center"/>
          </w:tcPr>
          <w:p w14:paraId="2B3B6C33">
            <w:pPr>
              <w:pStyle w:val="6"/>
              <w:widowControl/>
              <w:spacing w:beforeAutospacing="0" w:afterAutospacing="0" w:line="324" w:lineRule="atLeast"/>
            </w:pPr>
            <w:r>
              <w:t>PSI/SI table automatically generating</w:t>
            </w:r>
          </w:p>
        </w:tc>
      </w:tr>
      <w:tr w14:paraId="7FAD10F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6BB86E4B">
            <w:pPr>
              <w:pStyle w:val="6"/>
              <w:widowControl/>
              <w:spacing w:beforeAutospacing="0" w:afterAutospacing="0" w:line="324" w:lineRule="atLeast"/>
            </w:pPr>
            <w:r>
              <w:t>Modulation</w:t>
            </w:r>
          </w:p>
          <w:p w14:paraId="33FB4AA2">
            <w:pPr>
              <w:pStyle w:val="6"/>
              <w:widowControl/>
              <w:spacing w:beforeAutospacing="0" w:afterAutospacing="0" w:line="324" w:lineRule="atLeast"/>
            </w:pPr>
            <w:r>
              <w:t>Parameters</w:t>
            </w:r>
          </w:p>
        </w:tc>
        <w:tc>
          <w:tcPr>
            <w:tcW w:w="0" w:type="auto"/>
            <w:shd w:val="clear" w:color="auto" w:fill="auto"/>
            <w:vAlign w:val="center"/>
          </w:tcPr>
          <w:p w14:paraId="2B1910E6">
            <w:pPr>
              <w:pStyle w:val="6"/>
              <w:widowControl/>
              <w:spacing w:beforeAutospacing="0" w:afterAutospacing="0" w:line="324" w:lineRule="atLeast"/>
            </w:pPr>
            <w:r>
              <w:t>Channel</w:t>
            </w:r>
          </w:p>
        </w:tc>
        <w:tc>
          <w:tcPr>
            <w:tcW w:w="0" w:type="auto"/>
            <w:shd w:val="clear" w:color="auto" w:fill="auto"/>
            <w:vAlign w:val="center"/>
          </w:tcPr>
          <w:p w14:paraId="1221918C">
            <w:pPr>
              <w:pStyle w:val="6"/>
              <w:widowControl/>
              <w:spacing w:beforeAutospacing="0" w:afterAutospacing="0" w:line="324" w:lineRule="atLeast"/>
            </w:pPr>
            <w:r>
              <w:t>8(or 16)</w:t>
            </w:r>
          </w:p>
        </w:tc>
      </w:tr>
      <w:tr w14:paraId="5F9AF360">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31F1F64C">
            <w:pPr>
              <w:jc w:val="left"/>
              <w:rPr>
                <w:rFonts w:ascii="宋体"/>
                <w:sz w:val="24"/>
                <w:szCs w:val="24"/>
              </w:rPr>
            </w:pPr>
          </w:p>
        </w:tc>
        <w:tc>
          <w:tcPr>
            <w:tcW w:w="0" w:type="auto"/>
            <w:shd w:val="clear" w:color="auto" w:fill="auto"/>
            <w:vAlign w:val="center"/>
          </w:tcPr>
          <w:p w14:paraId="77515625">
            <w:pPr>
              <w:pStyle w:val="6"/>
              <w:widowControl/>
              <w:spacing w:beforeAutospacing="0" w:afterAutospacing="0" w:line="324" w:lineRule="atLeast"/>
            </w:pPr>
            <w:r>
              <w:t>Modulation Standard</w:t>
            </w:r>
          </w:p>
        </w:tc>
        <w:tc>
          <w:tcPr>
            <w:tcW w:w="0" w:type="auto"/>
            <w:shd w:val="clear" w:color="auto" w:fill="auto"/>
            <w:vAlign w:val="center"/>
          </w:tcPr>
          <w:p w14:paraId="49D7DFDB">
            <w:pPr>
              <w:pStyle w:val="6"/>
              <w:widowControl/>
              <w:spacing w:beforeAutospacing="0" w:afterAutospacing="0" w:line="324" w:lineRule="atLeast"/>
            </w:pPr>
            <w:r>
              <w:t>ETSI EN300 744</w:t>
            </w:r>
          </w:p>
        </w:tc>
      </w:tr>
      <w:tr w14:paraId="6C57D85B">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67EA289">
            <w:pPr>
              <w:jc w:val="left"/>
              <w:rPr>
                <w:rFonts w:ascii="宋体"/>
                <w:sz w:val="24"/>
                <w:szCs w:val="24"/>
              </w:rPr>
            </w:pPr>
          </w:p>
        </w:tc>
        <w:tc>
          <w:tcPr>
            <w:tcW w:w="0" w:type="auto"/>
            <w:shd w:val="clear" w:color="auto" w:fill="auto"/>
            <w:vAlign w:val="center"/>
          </w:tcPr>
          <w:p w14:paraId="4250DB25">
            <w:pPr>
              <w:pStyle w:val="6"/>
              <w:widowControl/>
              <w:spacing w:beforeAutospacing="0" w:afterAutospacing="0" w:line="324" w:lineRule="atLeast"/>
            </w:pPr>
            <w:r>
              <w:t>Constellation</w:t>
            </w:r>
          </w:p>
        </w:tc>
        <w:tc>
          <w:tcPr>
            <w:tcW w:w="0" w:type="auto"/>
            <w:shd w:val="clear" w:color="auto" w:fill="auto"/>
            <w:vAlign w:val="center"/>
          </w:tcPr>
          <w:p w14:paraId="57C58EB7">
            <w:pPr>
              <w:pStyle w:val="6"/>
              <w:widowControl/>
              <w:spacing w:beforeAutospacing="0" w:afterAutospacing="0" w:line="324" w:lineRule="atLeast"/>
            </w:pPr>
            <w:r>
              <w:t>QPSK/16QAM/64QAM</w:t>
            </w:r>
          </w:p>
        </w:tc>
      </w:tr>
      <w:tr w14:paraId="1B8BEAC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E16C57C">
            <w:pPr>
              <w:jc w:val="left"/>
              <w:rPr>
                <w:rFonts w:ascii="宋体"/>
                <w:sz w:val="24"/>
                <w:szCs w:val="24"/>
              </w:rPr>
            </w:pPr>
          </w:p>
        </w:tc>
        <w:tc>
          <w:tcPr>
            <w:tcW w:w="0" w:type="auto"/>
            <w:shd w:val="clear" w:color="auto" w:fill="auto"/>
            <w:vAlign w:val="center"/>
          </w:tcPr>
          <w:p w14:paraId="606942B3">
            <w:pPr>
              <w:pStyle w:val="6"/>
              <w:widowControl/>
              <w:spacing w:beforeAutospacing="0" w:afterAutospacing="0" w:line="324" w:lineRule="atLeast"/>
            </w:pPr>
            <w:r>
              <w:t>Bandwidth</w:t>
            </w:r>
          </w:p>
        </w:tc>
        <w:tc>
          <w:tcPr>
            <w:tcW w:w="0" w:type="auto"/>
            <w:shd w:val="clear" w:color="auto" w:fill="auto"/>
            <w:vAlign w:val="center"/>
          </w:tcPr>
          <w:p w14:paraId="09DCF5C6">
            <w:pPr>
              <w:pStyle w:val="6"/>
              <w:widowControl/>
              <w:spacing w:beforeAutospacing="0" w:afterAutospacing="0" w:line="324" w:lineRule="atLeast"/>
            </w:pPr>
            <w:r>
              <w:t>6/7/8 MHz</w:t>
            </w:r>
          </w:p>
        </w:tc>
      </w:tr>
      <w:tr w14:paraId="3C391A2E">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B4842D5">
            <w:pPr>
              <w:jc w:val="left"/>
              <w:rPr>
                <w:rFonts w:ascii="宋体"/>
                <w:sz w:val="24"/>
                <w:szCs w:val="24"/>
              </w:rPr>
            </w:pPr>
          </w:p>
        </w:tc>
        <w:tc>
          <w:tcPr>
            <w:tcW w:w="0" w:type="auto"/>
            <w:shd w:val="clear" w:color="auto" w:fill="auto"/>
            <w:vAlign w:val="center"/>
          </w:tcPr>
          <w:p w14:paraId="02DA88A1">
            <w:pPr>
              <w:pStyle w:val="6"/>
              <w:widowControl/>
              <w:spacing w:beforeAutospacing="0" w:afterAutospacing="0" w:line="324" w:lineRule="atLeast"/>
            </w:pPr>
            <w:r>
              <w:t>Trans mode</w:t>
            </w:r>
          </w:p>
        </w:tc>
        <w:tc>
          <w:tcPr>
            <w:tcW w:w="0" w:type="auto"/>
            <w:shd w:val="clear" w:color="auto" w:fill="auto"/>
            <w:vAlign w:val="center"/>
          </w:tcPr>
          <w:p w14:paraId="126E0A77">
            <w:pPr>
              <w:pStyle w:val="6"/>
              <w:widowControl/>
              <w:spacing w:beforeAutospacing="0" w:afterAutospacing="0" w:line="324" w:lineRule="atLeast"/>
            </w:pPr>
            <w:r>
              <w:t>2K/4K/8K</w:t>
            </w:r>
          </w:p>
        </w:tc>
      </w:tr>
      <w:tr w14:paraId="7E70757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5FD94783">
            <w:pPr>
              <w:jc w:val="left"/>
              <w:rPr>
                <w:rFonts w:ascii="宋体"/>
                <w:sz w:val="24"/>
                <w:szCs w:val="24"/>
              </w:rPr>
            </w:pPr>
          </w:p>
        </w:tc>
        <w:tc>
          <w:tcPr>
            <w:tcW w:w="0" w:type="auto"/>
            <w:shd w:val="clear" w:color="auto" w:fill="auto"/>
            <w:vAlign w:val="center"/>
          </w:tcPr>
          <w:p w14:paraId="44F044C4">
            <w:pPr>
              <w:pStyle w:val="6"/>
              <w:widowControl/>
              <w:spacing w:beforeAutospacing="0" w:afterAutospacing="0" w:line="324" w:lineRule="atLeast"/>
            </w:pPr>
            <w:r>
              <w:t>FEC</w:t>
            </w:r>
          </w:p>
        </w:tc>
        <w:tc>
          <w:tcPr>
            <w:tcW w:w="0" w:type="auto"/>
            <w:shd w:val="clear" w:color="auto" w:fill="auto"/>
            <w:vAlign w:val="center"/>
          </w:tcPr>
          <w:p w14:paraId="7C434518">
            <w:pPr>
              <w:pStyle w:val="6"/>
              <w:widowControl/>
              <w:spacing w:beforeAutospacing="0" w:afterAutospacing="0" w:line="324" w:lineRule="atLeast"/>
            </w:pPr>
            <w:r>
              <w:t>1/2,2/3,3/4,5/6,7/8</w:t>
            </w:r>
          </w:p>
        </w:tc>
      </w:tr>
      <w:tr w14:paraId="5E96FF41">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7608274D">
            <w:pPr>
              <w:pStyle w:val="6"/>
              <w:widowControl/>
              <w:spacing w:beforeAutospacing="0" w:afterAutospacing="0" w:line="324" w:lineRule="atLeast"/>
            </w:pPr>
            <w:r>
              <w:t>RF Output</w:t>
            </w:r>
          </w:p>
        </w:tc>
        <w:tc>
          <w:tcPr>
            <w:tcW w:w="0" w:type="auto"/>
            <w:shd w:val="clear" w:color="auto" w:fill="auto"/>
            <w:vAlign w:val="center"/>
          </w:tcPr>
          <w:p w14:paraId="230787FB">
            <w:pPr>
              <w:pStyle w:val="6"/>
              <w:widowControl/>
              <w:spacing w:beforeAutospacing="0" w:afterAutospacing="0" w:line="324" w:lineRule="atLeast"/>
            </w:pPr>
            <w:r>
              <w:t>Interface</w:t>
            </w:r>
          </w:p>
        </w:tc>
        <w:tc>
          <w:tcPr>
            <w:tcW w:w="0" w:type="auto"/>
            <w:shd w:val="clear" w:color="auto" w:fill="auto"/>
            <w:vAlign w:val="center"/>
          </w:tcPr>
          <w:p w14:paraId="66A6743B">
            <w:pPr>
              <w:pStyle w:val="6"/>
              <w:widowControl/>
              <w:spacing w:beforeAutospacing="0" w:afterAutospacing="0" w:line="324" w:lineRule="atLeast"/>
            </w:pPr>
            <w:r>
              <w:t>F typed output port for8(or 16) non-adjacent carriers</w:t>
            </w:r>
          </w:p>
        </w:tc>
      </w:tr>
      <w:tr w14:paraId="58919672">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118827C6">
            <w:pPr>
              <w:jc w:val="left"/>
              <w:rPr>
                <w:rFonts w:ascii="宋体"/>
                <w:sz w:val="24"/>
                <w:szCs w:val="24"/>
              </w:rPr>
            </w:pPr>
          </w:p>
        </w:tc>
        <w:tc>
          <w:tcPr>
            <w:tcW w:w="0" w:type="auto"/>
            <w:shd w:val="clear" w:color="auto" w:fill="auto"/>
            <w:vAlign w:val="center"/>
          </w:tcPr>
          <w:p w14:paraId="6F0DD64C">
            <w:pPr>
              <w:pStyle w:val="6"/>
              <w:widowControl/>
              <w:spacing w:beforeAutospacing="0" w:afterAutospacing="0" w:line="324" w:lineRule="atLeast"/>
            </w:pPr>
            <w:r>
              <w:t>RF Range</w:t>
            </w:r>
          </w:p>
        </w:tc>
        <w:tc>
          <w:tcPr>
            <w:tcW w:w="0" w:type="auto"/>
            <w:shd w:val="clear" w:color="auto" w:fill="auto"/>
            <w:vAlign w:val="center"/>
          </w:tcPr>
          <w:p w14:paraId="76C756A8">
            <w:pPr>
              <w:pStyle w:val="6"/>
              <w:widowControl/>
              <w:spacing w:beforeAutospacing="0" w:afterAutospacing="0" w:line="324" w:lineRule="atLeast"/>
            </w:pPr>
            <w:r>
              <w:t>50~960MHz, 1kHz stepping</w:t>
            </w:r>
          </w:p>
        </w:tc>
      </w:tr>
      <w:tr w14:paraId="038C5B8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BEBF991">
            <w:pPr>
              <w:jc w:val="left"/>
              <w:rPr>
                <w:rFonts w:ascii="宋体"/>
                <w:sz w:val="24"/>
                <w:szCs w:val="24"/>
              </w:rPr>
            </w:pPr>
          </w:p>
        </w:tc>
        <w:tc>
          <w:tcPr>
            <w:tcW w:w="0" w:type="auto"/>
            <w:shd w:val="clear" w:color="auto" w:fill="auto"/>
            <w:vAlign w:val="center"/>
          </w:tcPr>
          <w:p w14:paraId="27AD8CA5">
            <w:pPr>
              <w:pStyle w:val="6"/>
              <w:widowControl/>
              <w:spacing w:beforeAutospacing="0" w:afterAutospacing="0" w:line="324" w:lineRule="atLeast"/>
            </w:pPr>
            <w:r>
              <w:t>Output Level</w:t>
            </w:r>
          </w:p>
        </w:tc>
        <w:tc>
          <w:tcPr>
            <w:tcW w:w="0" w:type="auto"/>
            <w:shd w:val="clear" w:color="auto" w:fill="auto"/>
            <w:vAlign w:val="center"/>
          </w:tcPr>
          <w:p w14:paraId="37A24E24">
            <w:pPr>
              <w:pStyle w:val="6"/>
              <w:widowControl/>
              <w:spacing w:beforeAutospacing="0" w:afterAutospacing="0" w:line="324" w:lineRule="atLeast"/>
            </w:pPr>
            <w:r>
              <w:t>-20~+10dbm(for all carriers), 0.5db stepping</w:t>
            </w:r>
          </w:p>
        </w:tc>
      </w:tr>
      <w:tr w14:paraId="3368BA5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244E0CB">
            <w:pPr>
              <w:jc w:val="left"/>
              <w:rPr>
                <w:rFonts w:ascii="宋体"/>
                <w:sz w:val="24"/>
                <w:szCs w:val="24"/>
              </w:rPr>
            </w:pPr>
          </w:p>
        </w:tc>
        <w:tc>
          <w:tcPr>
            <w:tcW w:w="0" w:type="auto"/>
            <w:shd w:val="clear" w:color="auto" w:fill="auto"/>
            <w:vAlign w:val="center"/>
          </w:tcPr>
          <w:p w14:paraId="45573566">
            <w:pPr>
              <w:pStyle w:val="6"/>
              <w:widowControl/>
              <w:spacing w:beforeAutospacing="0" w:afterAutospacing="0" w:line="324" w:lineRule="atLeast"/>
            </w:pPr>
            <w:r>
              <w:t>MER</w:t>
            </w:r>
          </w:p>
        </w:tc>
        <w:tc>
          <w:tcPr>
            <w:tcW w:w="0" w:type="auto"/>
            <w:shd w:val="clear" w:color="auto" w:fill="auto"/>
            <w:vAlign w:val="center"/>
          </w:tcPr>
          <w:p w14:paraId="7FB6A682">
            <w:pPr>
              <w:pStyle w:val="6"/>
              <w:widowControl/>
              <w:spacing w:beforeAutospacing="0" w:afterAutospacing="0" w:line="324" w:lineRule="atLeast"/>
            </w:pPr>
            <w:r>
              <w:t>≥ 40dB</w:t>
            </w:r>
          </w:p>
        </w:tc>
      </w:tr>
      <w:tr w14:paraId="761AE77F">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CCBBB5F">
            <w:pPr>
              <w:jc w:val="left"/>
              <w:rPr>
                <w:rFonts w:ascii="宋体"/>
                <w:sz w:val="24"/>
                <w:szCs w:val="24"/>
              </w:rPr>
            </w:pPr>
          </w:p>
        </w:tc>
        <w:tc>
          <w:tcPr>
            <w:tcW w:w="0" w:type="auto"/>
            <w:shd w:val="clear" w:color="auto" w:fill="auto"/>
            <w:vAlign w:val="center"/>
          </w:tcPr>
          <w:p w14:paraId="619BDB4C">
            <w:pPr>
              <w:pStyle w:val="6"/>
              <w:widowControl/>
              <w:spacing w:beforeAutospacing="0" w:afterAutospacing="0" w:line="324" w:lineRule="atLeast"/>
            </w:pPr>
            <w:r>
              <w:t>ACL</w:t>
            </w:r>
          </w:p>
        </w:tc>
        <w:tc>
          <w:tcPr>
            <w:tcW w:w="0" w:type="auto"/>
            <w:shd w:val="clear" w:color="auto" w:fill="auto"/>
            <w:vAlign w:val="center"/>
          </w:tcPr>
          <w:p w14:paraId="58F46BC9">
            <w:pPr>
              <w:pStyle w:val="6"/>
              <w:widowControl/>
              <w:spacing w:beforeAutospacing="0" w:afterAutospacing="0" w:line="324" w:lineRule="atLeast"/>
            </w:pPr>
            <w:r>
              <w:t>-55 dBc</w:t>
            </w:r>
          </w:p>
        </w:tc>
      </w:tr>
      <w:tr w14:paraId="03835F46">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7C690431">
            <w:pPr>
              <w:pStyle w:val="6"/>
              <w:widowControl/>
              <w:spacing w:beforeAutospacing="0" w:afterAutospacing="0" w:line="324" w:lineRule="atLeast"/>
            </w:pPr>
            <w:r>
              <w:t>TS output</w:t>
            </w:r>
          </w:p>
        </w:tc>
        <w:tc>
          <w:tcPr>
            <w:tcW w:w="0" w:type="auto"/>
            <w:gridSpan w:val="2"/>
            <w:shd w:val="clear" w:color="auto" w:fill="auto"/>
            <w:vAlign w:val="center"/>
          </w:tcPr>
          <w:p w14:paraId="3B9111E4">
            <w:pPr>
              <w:pStyle w:val="6"/>
              <w:widowControl/>
              <w:spacing w:beforeAutospacing="0" w:afterAutospacing="0" w:line="324" w:lineRule="atLeast"/>
            </w:pPr>
            <w:r>
              <w:t>8 (or 16) IP output over UDP/RTP/RTSP, unicast/multicast, Data1 100/1000M Ethernet Ports</w:t>
            </w:r>
          </w:p>
        </w:tc>
      </w:tr>
      <w:tr w14:paraId="2A7EEF8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0D57C426">
            <w:pPr>
              <w:jc w:val="left"/>
              <w:rPr>
                <w:rFonts w:ascii="宋体"/>
                <w:sz w:val="24"/>
                <w:szCs w:val="24"/>
              </w:rPr>
            </w:pPr>
          </w:p>
        </w:tc>
        <w:tc>
          <w:tcPr>
            <w:tcW w:w="0" w:type="auto"/>
            <w:gridSpan w:val="2"/>
            <w:shd w:val="clear" w:color="auto" w:fill="auto"/>
            <w:vAlign w:val="center"/>
          </w:tcPr>
          <w:p w14:paraId="7A5B4675">
            <w:pPr>
              <w:pStyle w:val="6"/>
              <w:widowControl/>
              <w:spacing w:beforeAutospacing="0" w:afterAutospacing="0" w:line="324" w:lineRule="atLeast"/>
            </w:pPr>
            <w:r>
              <w:t>2 ASI output, one as mirror</w:t>
            </w:r>
          </w:p>
        </w:tc>
      </w:tr>
      <w:tr w14:paraId="24FA8DBD">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shd w:val="clear" w:color="auto" w:fill="auto"/>
            <w:vAlign w:val="center"/>
          </w:tcPr>
          <w:p w14:paraId="05FAA12C">
            <w:pPr>
              <w:pStyle w:val="6"/>
              <w:widowControl/>
              <w:spacing w:beforeAutospacing="0" w:afterAutospacing="0" w:line="324" w:lineRule="atLeast"/>
            </w:pPr>
            <w:r>
              <w:t>System</w:t>
            </w:r>
          </w:p>
        </w:tc>
        <w:tc>
          <w:tcPr>
            <w:tcW w:w="0" w:type="auto"/>
            <w:gridSpan w:val="2"/>
            <w:shd w:val="clear" w:color="auto" w:fill="auto"/>
            <w:vAlign w:val="center"/>
          </w:tcPr>
          <w:p w14:paraId="34E57DB0">
            <w:pPr>
              <w:pStyle w:val="6"/>
              <w:widowControl/>
              <w:spacing w:beforeAutospacing="0" w:afterAutospacing="0" w:line="324" w:lineRule="atLeast"/>
            </w:pPr>
            <w:r>
              <w:t>Web-based Network management</w:t>
            </w:r>
          </w:p>
        </w:tc>
      </w:tr>
      <w:tr w14:paraId="36D06737">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restart"/>
            <w:shd w:val="clear" w:color="auto" w:fill="auto"/>
            <w:vAlign w:val="center"/>
          </w:tcPr>
          <w:p w14:paraId="27A13B41">
            <w:pPr>
              <w:pStyle w:val="6"/>
              <w:widowControl/>
              <w:spacing w:beforeAutospacing="0" w:afterAutospacing="0" w:line="324" w:lineRule="atLeast"/>
            </w:pPr>
            <w:r>
              <w:t>General</w:t>
            </w:r>
          </w:p>
        </w:tc>
        <w:tc>
          <w:tcPr>
            <w:tcW w:w="0" w:type="auto"/>
            <w:shd w:val="clear" w:color="auto" w:fill="auto"/>
            <w:vAlign w:val="center"/>
          </w:tcPr>
          <w:p w14:paraId="651448F3">
            <w:pPr>
              <w:pStyle w:val="6"/>
              <w:widowControl/>
              <w:spacing w:beforeAutospacing="0" w:afterAutospacing="0" w:line="324" w:lineRule="atLeast"/>
            </w:pPr>
            <w:r>
              <w:t>Demission</w:t>
            </w:r>
          </w:p>
        </w:tc>
        <w:tc>
          <w:tcPr>
            <w:tcW w:w="0" w:type="auto"/>
            <w:shd w:val="clear" w:color="auto" w:fill="auto"/>
            <w:vAlign w:val="center"/>
          </w:tcPr>
          <w:p w14:paraId="59F62ECC">
            <w:pPr>
              <w:pStyle w:val="6"/>
              <w:widowControl/>
              <w:spacing w:beforeAutospacing="0" w:afterAutospacing="0" w:line="324" w:lineRule="atLeast"/>
            </w:pPr>
            <w:r>
              <w:t>420mm×440mm×44.5mm (WxLxH)</w:t>
            </w:r>
          </w:p>
        </w:tc>
      </w:tr>
      <w:tr w14:paraId="020265BC">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6E6EF798">
            <w:pPr>
              <w:jc w:val="left"/>
              <w:rPr>
                <w:rFonts w:ascii="宋体"/>
                <w:sz w:val="24"/>
                <w:szCs w:val="24"/>
              </w:rPr>
            </w:pPr>
          </w:p>
        </w:tc>
        <w:tc>
          <w:tcPr>
            <w:tcW w:w="0" w:type="auto"/>
            <w:shd w:val="clear" w:color="auto" w:fill="auto"/>
            <w:vAlign w:val="center"/>
          </w:tcPr>
          <w:p w14:paraId="3D747594">
            <w:pPr>
              <w:pStyle w:val="6"/>
              <w:widowControl/>
              <w:spacing w:beforeAutospacing="0" w:afterAutospacing="0" w:line="324" w:lineRule="atLeast"/>
            </w:pPr>
            <w:r>
              <w:t>Temperature</w:t>
            </w:r>
          </w:p>
        </w:tc>
        <w:tc>
          <w:tcPr>
            <w:tcW w:w="0" w:type="auto"/>
            <w:shd w:val="clear" w:color="auto" w:fill="auto"/>
            <w:vAlign w:val="center"/>
          </w:tcPr>
          <w:p w14:paraId="3C3491E5">
            <w:pPr>
              <w:pStyle w:val="6"/>
              <w:widowControl/>
              <w:spacing w:beforeAutospacing="0" w:afterAutospacing="0" w:line="324" w:lineRule="atLeast"/>
            </w:pPr>
            <w:r>
              <w:t>0~45℃(operation), -20~80℃(storage)</w:t>
            </w:r>
          </w:p>
        </w:tc>
      </w:tr>
      <w:tr w14:paraId="1B38B108">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15" w:type="dxa"/>
            <w:left w:w="15" w:type="dxa"/>
            <w:bottom w:w="15" w:type="dxa"/>
            <w:right w:w="15" w:type="dxa"/>
          </w:tblCellMar>
        </w:tblPrEx>
        <w:trPr>
          <w:tblCellSpacing w:w="0" w:type="dxa"/>
        </w:trPr>
        <w:tc>
          <w:tcPr>
            <w:tcW w:w="0" w:type="auto"/>
            <w:vMerge w:val="continue"/>
            <w:shd w:val="clear" w:color="auto" w:fill="auto"/>
            <w:vAlign w:val="center"/>
          </w:tcPr>
          <w:p w14:paraId="4DEDCFF2">
            <w:pPr>
              <w:jc w:val="left"/>
              <w:rPr>
                <w:rFonts w:ascii="宋体"/>
                <w:sz w:val="24"/>
                <w:szCs w:val="24"/>
              </w:rPr>
            </w:pPr>
          </w:p>
        </w:tc>
        <w:tc>
          <w:tcPr>
            <w:tcW w:w="0" w:type="auto"/>
            <w:shd w:val="clear" w:color="auto" w:fill="auto"/>
            <w:vAlign w:val="center"/>
          </w:tcPr>
          <w:p w14:paraId="24643A72">
            <w:pPr>
              <w:pStyle w:val="6"/>
              <w:widowControl/>
              <w:spacing w:beforeAutospacing="0" w:afterAutospacing="0" w:line="324" w:lineRule="atLeast"/>
            </w:pPr>
            <w:r>
              <w:t>Power Supply</w:t>
            </w:r>
          </w:p>
        </w:tc>
        <w:tc>
          <w:tcPr>
            <w:tcW w:w="0" w:type="auto"/>
            <w:shd w:val="clear" w:color="auto" w:fill="auto"/>
            <w:vAlign w:val="center"/>
          </w:tcPr>
          <w:p w14:paraId="6EAD95E2">
            <w:pPr>
              <w:pStyle w:val="6"/>
              <w:widowControl/>
              <w:spacing w:beforeAutospacing="0" w:afterAutospacing="0" w:line="324" w:lineRule="atLeast"/>
            </w:pPr>
            <w:r>
              <w:t>AC100V±10%, 50/60Hz or AC 220V±10%,50/60Hz</w:t>
            </w:r>
          </w:p>
        </w:tc>
      </w:tr>
    </w:tbl>
    <w:p w14:paraId="2D18B471">
      <w:pPr>
        <w:pStyle w:val="6"/>
        <w:widowControl/>
        <w:spacing w:beforeAutospacing="0" w:afterAutospacing="0" w:line="324" w:lineRule="atLeast"/>
      </w:pPr>
      <w:r>
        <w:rPr>
          <w:rFonts w:ascii="Verdana" w:hAnsi="Verdana" w:cs="Verdana"/>
          <w:color w:val="333333"/>
          <w:sz w:val="18"/>
          <w:szCs w:val="18"/>
          <w:shd w:val="clear" w:color="auto" w:fill="FEFCFD"/>
        </w:rPr>
        <w:t> </w:t>
      </w:r>
    </w:p>
    <w:p w14:paraId="39D21DE0">
      <w:pPr>
        <w:widowControl/>
        <w:shd w:val="clear" w:color="auto" w:fill="F2F2F4"/>
        <w:jc w:val="left"/>
        <w:rPr>
          <w:rFonts w:ascii="Verdana" w:hAnsi="Verdana" w:cs="Verdana"/>
          <w:color w:val="333333"/>
          <w:sz w:val="18"/>
          <w:szCs w:val="18"/>
        </w:rPr>
      </w:pPr>
    </w:p>
    <w:p w14:paraId="2457C506">
      <w:pPr>
        <w:rPr>
          <w:rFonts w:ascii="Verdana" w:hAnsi="Verdana" w:cs="Verdana"/>
          <w:color w:val="000000"/>
          <w:sz w:val="28"/>
        </w:rPr>
      </w:pPr>
    </w:p>
    <w:p w14:paraId="69339F85">
      <w:pPr>
        <w:rPr>
          <w:rFonts w:ascii="Verdana" w:hAnsi="Verdana" w:cs="Verdana"/>
          <w:b/>
          <w:color w:val="000000"/>
          <w:sz w:val="22"/>
        </w:rPr>
      </w:pPr>
      <w:r>
        <w:rPr>
          <w:rFonts w:hint="eastAsia" w:ascii="Verdana" w:hAnsi="Verdana" w:cs="Verdana"/>
          <w:b/>
          <w:color w:val="000000"/>
          <w:sz w:val="22"/>
        </w:rPr>
        <w:t>About Us</w:t>
      </w:r>
    </w:p>
    <w:p w14:paraId="294F2A8C">
      <w:pPr>
        <w:rPr>
          <w:rFonts w:ascii="Verdana" w:hAnsi="Verdana" w:cs="Verdana"/>
          <w:color w:val="000000"/>
          <w:sz w:val="18"/>
        </w:rPr>
      </w:pPr>
      <w:r>
        <w:rPr>
          <w:rFonts w:hint="eastAsia" w:ascii="Verdana" w:hAnsi="Verdana" w:cs="Verdana"/>
          <w:color w:val="000000"/>
          <w:sz w:val="18"/>
        </w:rPr>
        <w:t xml:space="preserve">  FMUSER is a company specializing in broadcasting and television transmission systems and integrating hotel IPTV systems. The company was established in 2009 and has served over 180 countries worldwide. More than 20,000 television stations, radio stations, and hotel clients from different.</w:t>
      </w:r>
    </w:p>
    <w:p w14:paraId="5410FFB6">
      <w:pPr>
        <w:rPr>
          <w:rFonts w:ascii="Verdana" w:hAnsi="Verdana" w:cs="Verdana"/>
          <w:color w:val="000000"/>
          <w:sz w:val="18"/>
        </w:rPr>
      </w:pPr>
    </w:p>
    <w:p w14:paraId="2FDC92B9">
      <w:pPr>
        <w:rPr>
          <w:rFonts w:ascii="Verdana" w:hAnsi="Verdana" w:cs="Verdana"/>
          <w:color w:val="000000"/>
          <w:sz w:val="18"/>
        </w:rPr>
      </w:pPr>
      <w:r>
        <w:rPr>
          <w:rFonts w:hint="eastAsia" w:ascii="Verdana" w:hAnsi="Verdana" w:cs="Verdana"/>
          <w:color w:val="000000"/>
          <w:sz w:val="18"/>
        </w:rPr>
        <w:t xml:space="preserve">   Contact:Tomleequan    Email：sales@fmuser.com    whatsapp: +8613922702227</w:t>
      </w:r>
    </w:p>
    <w:sectPr>
      <w:headerReference r:id="rId3" w:type="default"/>
      <w:footerReference r:id="rId4" w:type="default"/>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Verdana">
    <w:panose1 w:val="020B0604030504040204"/>
    <w:charset w:val="00"/>
    <w:family w:val="swiss"/>
    <w:pitch w:val="default"/>
    <w:sig w:usb0="A00006FF" w:usb1="4000205B" w:usb2="00000010" w:usb3="00000000" w:csb0="2000019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FF15B">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59264" behindDoc="0" locked="0" layoutInCell="1" allowOverlap="1">
          <wp:simplePos x="0" y="0"/>
          <wp:positionH relativeFrom="column">
            <wp:posOffset>8255</wp:posOffset>
          </wp:positionH>
          <wp:positionV relativeFrom="paragraph">
            <wp:posOffset>-86360</wp:posOffset>
          </wp:positionV>
          <wp:extent cx="903605" cy="346075"/>
          <wp:effectExtent l="0" t="0" r="10795" b="0"/>
          <wp:wrapNone/>
          <wp:docPr id="4"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muser标志1.png"/>
                  <pic:cNvPicPr>
                    <a:picLocks noChangeAspect="1" noChangeArrowheads="1"/>
                  </pic:cNvPicPr>
                </pic:nvPicPr>
                <pic:blipFill>
                  <a:blip r:embed="rId1"/>
                  <a:srcRect/>
                  <a:stretch>
                    <a:fillRect/>
                  </a:stretch>
                </pic:blipFill>
                <pic:spPr>
                  <a:xfrm>
                    <a:off x="0" y="0"/>
                    <a:ext cx="903605" cy="346075"/>
                  </a:xfrm>
                  <a:prstGeom prst="rect">
                    <a:avLst/>
                  </a:prstGeom>
                  <a:noFill/>
                  <a:ln w="9525">
                    <a:noFill/>
                    <a:miter lim="800000"/>
                    <a:headEnd/>
                    <a:tailEnd/>
                  </a:ln>
                </pic:spPr>
              </pic:pic>
            </a:graphicData>
          </a:graphic>
        </wp:anchor>
      </w:drawing>
    </w:r>
    <w:r>
      <w:rPr>
        <w:rFonts w:ascii="微软雅黑" w:hAnsi="微软雅黑" w:eastAsia="微软雅黑"/>
      </w:rPr>
      <w:pict>
        <v:shape id="_x0000_s1026" o:spid="_x0000_s1026" o:spt="136" type="#_x0000_t136" style="position:absolute;left:0pt;margin-left:-6.85pt;margin-top:331pt;height:71.25pt;width:525pt;mso-position-horizontal-relative:margin;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p w14:paraId="40E29614">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9A4ADC">
    <w:pPr>
      <w:pStyle w:val="5"/>
      <w:wordWrap w:val="0"/>
      <w:jc w:val="right"/>
      <w:rPr>
        <w:rFonts w:ascii="微软雅黑" w:hAnsi="微软雅黑" w:eastAsia="微软雅黑"/>
      </w:rPr>
    </w:pPr>
    <w:r>
      <w:rPr>
        <w:rFonts w:ascii="微软雅黑" w:hAnsi="微软雅黑" w:eastAsia="微软雅黑"/>
      </w:rPr>
      <w:drawing>
        <wp:anchor distT="0" distB="0" distL="114300" distR="114300" simplePos="0" relativeHeight="251661312" behindDoc="0" locked="0" layoutInCell="1" allowOverlap="1">
          <wp:simplePos x="0" y="0"/>
          <wp:positionH relativeFrom="column">
            <wp:posOffset>8255</wp:posOffset>
          </wp:positionH>
          <wp:positionV relativeFrom="paragraph">
            <wp:posOffset>-64135</wp:posOffset>
          </wp:positionV>
          <wp:extent cx="846455" cy="323850"/>
          <wp:effectExtent l="0" t="0" r="10795" b="0"/>
          <wp:wrapNone/>
          <wp:docPr id="5" name="图片 4" descr="Fmuser标志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descr="Fmuser标志1.png"/>
                  <pic:cNvPicPr>
                    <a:picLocks noChangeAspect="1" noChangeArrowheads="1"/>
                  </pic:cNvPicPr>
                </pic:nvPicPr>
                <pic:blipFill>
                  <a:blip r:embed="rId1"/>
                  <a:srcRect/>
                  <a:stretch>
                    <a:fillRect/>
                  </a:stretch>
                </pic:blipFill>
                <pic:spPr>
                  <a:xfrm>
                    <a:off x="0" y="0"/>
                    <a:ext cx="846455" cy="323850"/>
                  </a:xfrm>
                  <a:prstGeom prst="rect">
                    <a:avLst/>
                  </a:prstGeom>
                  <a:noFill/>
                  <a:ln w="9525">
                    <a:noFill/>
                    <a:miter lim="800000"/>
                    <a:headEnd/>
                    <a:tailEnd/>
                  </a:ln>
                </pic:spPr>
              </pic:pic>
            </a:graphicData>
          </a:graphic>
        </wp:anchor>
      </w:drawing>
    </w:r>
    <w:r>
      <w:rPr>
        <w:rFonts w:ascii="微软雅黑" w:hAnsi="微软雅黑" w:eastAsia="微软雅黑"/>
      </w:rPr>
      <w:pict>
        <v:shape id="_x0000_s1027" o:spid="_x0000_s1027" o:spt="136" type="#_x0000_t136" style="position:absolute;left:0pt;margin-left:-6.85pt;margin-top:331pt;height:71.25pt;width:525pt;mso-position-horizontal-relative:margin;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FMUSER 广州汉婷" style="font-family:华文细黑;font-size:66pt;v-text-align:center;"/>
        </v:shape>
      </w:pict>
    </w:r>
    <w:r>
      <w:rPr>
        <w:rFonts w:hint="eastAsia" w:ascii="微软雅黑" w:hAnsi="微软雅黑" w:eastAsia="微软雅黑"/>
      </w:rPr>
      <w:t>Contact:Tomleequan    Email：</w:t>
    </w:r>
    <w:r>
      <w:fldChar w:fldCharType="begin"/>
    </w:r>
    <w:r>
      <w:instrText xml:space="preserve"> HYPERLINK "mailto:sales@fmuser.com" </w:instrText>
    </w:r>
    <w:r>
      <w:fldChar w:fldCharType="separate"/>
    </w:r>
    <w:r>
      <w:rPr>
        <w:rStyle w:val="12"/>
        <w:rFonts w:hint="eastAsia" w:ascii="微软雅黑" w:hAnsi="微软雅黑" w:eastAsia="微软雅黑"/>
      </w:rPr>
      <w:t>sales@fmuser.com</w:t>
    </w:r>
    <w:r>
      <w:rPr>
        <w:rStyle w:val="12"/>
        <w:rFonts w:hint="eastAsia" w:ascii="微软雅黑" w:hAnsi="微软雅黑" w:eastAsia="微软雅黑"/>
      </w:rPr>
      <w:fldChar w:fldCharType="end"/>
    </w:r>
    <w:r>
      <w:rPr>
        <w:rFonts w:hint="eastAsia" w:ascii="微软雅黑" w:hAnsi="微软雅黑" w:eastAsia="微软雅黑"/>
      </w:rPr>
      <w:t xml:space="preserve">    whatsapp: </w:t>
    </w:r>
    <w:r>
      <w:fldChar w:fldCharType="begin"/>
    </w:r>
    <w:r>
      <w:instrText xml:space="preserve"> HYPERLINK "https://api.whatsapp.com/send/?phone=8613922702227&amp;text=Hello-I-visited-your-WP-IPTV-headend-site-and-I-need-your-solutions" </w:instrText>
    </w:r>
    <w:r>
      <w:fldChar w:fldCharType="separate"/>
    </w:r>
    <w:r>
      <w:rPr>
        <w:rStyle w:val="12"/>
        <w:rFonts w:hint="eastAsia" w:ascii="微软雅黑" w:hAnsi="微软雅黑" w:eastAsia="微软雅黑"/>
      </w:rPr>
      <w:t>+8613922702227</w:t>
    </w:r>
    <w:r>
      <w:rPr>
        <w:rStyle w:val="12"/>
        <w:rFonts w:hint="eastAsia" w:ascii="微软雅黑" w:hAnsi="微软雅黑" w:eastAsia="微软雅黑"/>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rsids>
    <w:rsidRoot w:val="008D6808"/>
    <w:rsid w:val="00020F1A"/>
    <w:rsid w:val="0004363E"/>
    <w:rsid w:val="000C61CB"/>
    <w:rsid w:val="001D0C80"/>
    <w:rsid w:val="001E63E5"/>
    <w:rsid w:val="00215238"/>
    <w:rsid w:val="00227839"/>
    <w:rsid w:val="00270F98"/>
    <w:rsid w:val="003743F3"/>
    <w:rsid w:val="003F2047"/>
    <w:rsid w:val="00444478"/>
    <w:rsid w:val="00453C05"/>
    <w:rsid w:val="00465307"/>
    <w:rsid w:val="0049468E"/>
    <w:rsid w:val="00622ACE"/>
    <w:rsid w:val="00665764"/>
    <w:rsid w:val="006B1158"/>
    <w:rsid w:val="00731840"/>
    <w:rsid w:val="007349B0"/>
    <w:rsid w:val="007359E2"/>
    <w:rsid w:val="0077681E"/>
    <w:rsid w:val="008D6808"/>
    <w:rsid w:val="00952937"/>
    <w:rsid w:val="00A16F8C"/>
    <w:rsid w:val="00A35CEF"/>
    <w:rsid w:val="00A400D1"/>
    <w:rsid w:val="00AE759F"/>
    <w:rsid w:val="00AF7C10"/>
    <w:rsid w:val="00B11FEF"/>
    <w:rsid w:val="00B4381C"/>
    <w:rsid w:val="00B539FF"/>
    <w:rsid w:val="00B56E04"/>
    <w:rsid w:val="00BD4043"/>
    <w:rsid w:val="00C44FAF"/>
    <w:rsid w:val="00D24477"/>
    <w:rsid w:val="00F268A0"/>
    <w:rsid w:val="00F714FF"/>
    <w:rsid w:val="00F7593F"/>
    <w:rsid w:val="00FC60FC"/>
    <w:rsid w:val="033D434A"/>
    <w:rsid w:val="045D166C"/>
    <w:rsid w:val="05337AA2"/>
    <w:rsid w:val="09BB7E82"/>
    <w:rsid w:val="0A680B1B"/>
    <w:rsid w:val="0E714EC9"/>
    <w:rsid w:val="0FC87CEA"/>
    <w:rsid w:val="101C4557"/>
    <w:rsid w:val="15C25510"/>
    <w:rsid w:val="18AE427D"/>
    <w:rsid w:val="18E81EA3"/>
    <w:rsid w:val="1AEE14E7"/>
    <w:rsid w:val="1B974A15"/>
    <w:rsid w:val="1CDC4CA0"/>
    <w:rsid w:val="1FCC39C5"/>
    <w:rsid w:val="20F61905"/>
    <w:rsid w:val="2199682E"/>
    <w:rsid w:val="239E3C7B"/>
    <w:rsid w:val="24C85DE4"/>
    <w:rsid w:val="27B55639"/>
    <w:rsid w:val="2A752F8B"/>
    <w:rsid w:val="2C665CEA"/>
    <w:rsid w:val="2E0F6BE8"/>
    <w:rsid w:val="314F3E41"/>
    <w:rsid w:val="32BD1BFD"/>
    <w:rsid w:val="3411616B"/>
    <w:rsid w:val="3B533162"/>
    <w:rsid w:val="3BC641A6"/>
    <w:rsid w:val="419B07E1"/>
    <w:rsid w:val="45872050"/>
    <w:rsid w:val="478E224E"/>
    <w:rsid w:val="485E04E5"/>
    <w:rsid w:val="487316FE"/>
    <w:rsid w:val="49B75FAC"/>
    <w:rsid w:val="4E4A4BF6"/>
    <w:rsid w:val="4F8D25ED"/>
    <w:rsid w:val="51AD130D"/>
    <w:rsid w:val="540A3FAB"/>
    <w:rsid w:val="562E484B"/>
    <w:rsid w:val="56834992"/>
    <w:rsid w:val="58766A4E"/>
    <w:rsid w:val="5930748A"/>
    <w:rsid w:val="59933671"/>
    <w:rsid w:val="5AA83521"/>
    <w:rsid w:val="5EEA5249"/>
    <w:rsid w:val="609213A6"/>
    <w:rsid w:val="61BA6334"/>
    <w:rsid w:val="63C27F07"/>
    <w:rsid w:val="649359F5"/>
    <w:rsid w:val="687A1177"/>
    <w:rsid w:val="68AD6386"/>
    <w:rsid w:val="6D7A6503"/>
    <w:rsid w:val="6E8764A3"/>
    <w:rsid w:val="70757613"/>
    <w:rsid w:val="70B756B4"/>
    <w:rsid w:val="73270F88"/>
    <w:rsid w:val="74455F31"/>
    <w:rsid w:val="7540100C"/>
    <w:rsid w:val="77935A18"/>
    <w:rsid w:val="7B3D3C5B"/>
    <w:rsid w:val="7B8E7427"/>
    <w:rsid w:val="7EAE425E"/>
    <w:rsid w:val="7FDF1E6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5"/>
    <w:basedOn w:val="1"/>
    <w:next w:val="1"/>
    <w:semiHidden/>
    <w:unhideWhenUsed/>
    <w:qFormat/>
    <w:uiPriority w:val="9"/>
    <w:pPr>
      <w:spacing w:beforeAutospacing="1" w:afterAutospacing="1"/>
      <w:jc w:val="left"/>
      <w:outlineLvl w:val="4"/>
    </w:pPr>
    <w:rPr>
      <w:rFonts w:hint="eastAsia" w:ascii="宋体" w:hAnsi="宋体" w:eastAsia="宋体" w:cs="Times New Roman"/>
      <w:b/>
      <w:bCs/>
      <w:kern w:val="0"/>
      <w:sz w:val="20"/>
      <w:szCs w:val="20"/>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6"/>
    <w:semiHidden/>
    <w:unhideWhenUsed/>
    <w:qFormat/>
    <w:uiPriority w:val="99"/>
    <w:rPr>
      <w:sz w:val="18"/>
      <w:szCs w:val="18"/>
    </w:rPr>
  </w:style>
  <w:style w:type="paragraph" w:styleId="4">
    <w:name w:val="footer"/>
    <w:basedOn w:val="1"/>
    <w:link w:val="14"/>
    <w:semiHidden/>
    <w:unhideWhenUsed/>
    <w:qFormat/>
    <w:uiPriority w:val="99"/>
    <w:pPr>
      <w:tabs>
        <w:tab w:val="center" w:pos="4153"/>
        <w:tab w:val="right" w:pos="8306"/>
      </w:tabs>
      <w:snapToGrid w:val="0"/>
      <w:jc w:val="left"/>
    </w:pPr>
    <w:rPr>
      <w:sz w:val="18"/>
      <w:szCs w:val="18"/>
    </w:rPr>
  </w:style>
  <w:style w:type="paragraph" w:styleId="5">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Autospacing="1" w:afterAutospacing="1"/>
      <w:jc w:val="left"/>
    </w:pPr>
    <w:rPr>
      <w:rFonts w:cs="Times New Roman"/>
      <w:kern w:val="0"/>
      <w:sz w:val="24"/>
    </w:rPr>
  </w:style>
  <w:style w:type="table" w:styleId="8">
    <w:name w:val="Table Grid"/>
    <w:basedOn w:val="7"/>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0">
    <w:name w:val="Strong"/>
    <w:basedOn w:val="9"/>
    <w:qFormat/>
    <w:uiPriority w:val="22"/>
    <w:rPr>
      <w:b/>
    </w:rPr>
  </w:style>
  <w:style w:type="character" w:styleId="11">
    <w:name w:val="FollowedHyperlink"/>
    <w:basedOn w:val="9"/>
    <w:semiHidden/>
    <w:unhideWhenUsed/>
    <w:qFormat/>
    <w:uiPriority w:val="99"/>
    <w:rPr>
      <w:color w:val="800080" w:themeColor="followedHyperlink"/>
      <w:u w:val="single"/>
    </w:rPr>
  </w:style>
  <w:style w:type="character" w:styleId="12">
    <w:name w:val="Hyperlink"/>
    <w:basedOn w:val="9"/>
    <w:unhideWhenUsed/>
    <w:qFormat/>
    <w:uiPriority w:val="99"/>
    <w:rPr>
      <w:color w:val="0000FF"/>
      <w:u w:val="single"/>
    </w:rPr>
  </w:style>
  <w:style w:type="character" w:customStyle="1" w:styleId="13">
    <w:name w:val="页眉 Char"/>
    <w:basedOn w:val="9"/>
    <w:link w:val="5"/>
    <w:semiHidden/>
    <w:qFormat/>
    <w:uiPriority w:val="99"/>
    <w:rPr>
      <w:sz w:val="18"/>
      <w:szCs w:val="18"/>
    </w:rPr>
  </w:style>
  <w:style w:type="character" w:customStyle="1" w:styleId="14">
    <w:name w:val="页脚 Char"/>
    <w:basedOn w:val="9"/>
    <w:link w:val="4"/>
    <w:semiHidden/>
    <w:qFormat/>
    <w:uiPriority w:val="99"/>
    <w:rPr>
      <w:sz w:val="18"/>
      <w:szCs w:val="18"/>
    </w:rPr>
  </w:style>
  <w:style w:type="paragraph" w:styleId="15">
    <w:name w:val="List Paragraph"/>
    <w:basedOn w:val="1"/>
    <w:qFormat/>
    <w:uiPriority w:val="34"/>
    <w:pPr>
      <w:ind w:firstLine="420" w:firstLineChars="200"/>
    </w:pPr>
    <w:rPr>
      <w:rFonts w:ascii="Times New Roman" w:hAnsi="Times New Roman" w:eastAsia="宋体" w:cs="Times New Roman"/>
      <w:szCs w:val="24"/>
    </w:rPr>
  </w:style>
  <w:style w:type="character" w:customStyle="1" w:styleId="16">
    <w:name w:val="批注框文本 Char"/>
    <w:basedOn w:val="9"/>
    <w:link w:val="3"/>
    <w:semiHidden/>
    <w:qFormat/>
    <w:uiPriority w:val="99"/>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hyperlink" Target="https://english.dsdvb.com/Upload/images/Product/Modulator/NDS3308T/V2-16.png" TargetMode="External"/><Relationship Id="rId8" Type="http://schemas.openxmlformats.org/officeDocument/2006/relationships/image" Target="media/image3.jpeg"/><Relationship Id="rId7" Type="http://schemas.openxmlformats.org/officeDocument/2006/relationships/hyperlink" Target="https://english.dsdvb.com/Upload/images/Product/Modulator/NDS3308T/V2-8.png" TargetMode="External"/><Relationship Id="rId6" Type="http://schemas.openxmlformats.org/officeDocument/2006/relationships/image" Target="media/image2.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hyperlink" Target="https://english.dsdvb.com/Upload/images/Product/Modulator/NDS3308T/V2-PC.png" TargetMode="External"/><Relationship Id="rId10" Type="http://schemas.openxmlformats.org/officeDocument/2006/relationships/image" Target="media/image4.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7"/>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198</Words>
  <Characters>1104</Characters>
  <Lines>22</Lines>
  <Paragraphs>6</Paragraphs>
  <TotalTime>0</TotalTime>
  <ScaleCrop>false</ScaleCrop>
  <LinksUpToDate>false</LinksUpToDate>
  <CharactersWithSpaces>1295</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2024-03-18T11:01:00Z</dcterms:created>
  <dc:creator>AutoBVT</dc:creator>
  <cp:lastModifiedBy>1</cp:lastModifiedBy>
  <dcterms:modified xsi:type="dcterms:W3CDTF">2025-08-20T06:46:07Z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eyJoZGlkIjoiMWY5MzNhYTQwNDc4OGVmNTg4NzE2OTM4MDFkMTQzMmUiLCJ1c2VySWQiOiI4MTk0Mzc2NzQifQ==</vt:lpwstr>
  </property>
  <property fmtid="{D5CDD505-2E9C-101B-9397-08002B2CF9AE}" pid="3" name="KSOProductBuildVer">
    <vt:lpwstr>2052-12.1.0.22529</vt:lpwstr>
  </property>
  <property fmtid="{D5CDD505-2E9C-101B-9397-08002B2CF9AE}" pid="4" name="ICV">
    <vt:lpwstr>3EA267FE38654E16AB0D6AF56450EEA5_13</vt:lpwstr>
  </property>
</Properties>
</file>