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77D0D">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FUQ-4419U DVB-T Modulator 256-512-768 IP Input to 8-16-24 RF Output GE-SFP Interface TS over UDP-RTP QPSK-16QAM-64QAM ETSI EN300 744 PID Remapping PSI-SI Editing Digital TV Broadcasting Cable Headend</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 xml:space="preserve">IPTV </w:t>
      </w:r>
      <w:bookmarkStart w:id="0" w:name="_GoBack"/>
      <w:r>
        <w:rPr>
          <w:rFonts w:ascii="Verdana" w:hAnsi="Verdana" w:cs="Verdana"/>
          <w:color w:val="000000"/>
          <w:sz w:val="28"/>
        </w:rPr>
        <w:drawing>
          <wp:inline distT="0" distB="0" distL="114300" distR="114300">
            <wp:extent cx="6187440" cy="3401695"/>
            <wp:effectExtent l="0" t="0" r="0" b="0"/>
            <wp:docPr id="1" name="图片 1" descr="3EEECN_20231103154507"/>
            <wp:cNvGraphicFramePr/>
            <a:graphic xmlns:a="http://schemas.openxmlformats.org/drawingml/2006/main">
              <a:graphicData uri="http://schemas.openxmlformats.org/drawingml/2006/picture">
                <pic:pic xmlns:pic="http://schemas.openxmlformats.org/drawingml/2006/picture">
                  <pic:nvPicPr>
                    <pic:cNvPr id="1" name="图片 1" descr="3EEECN_20231103154507"/>
                    <pic:cNvPicPr/>
                  </pic:nvPicPr>
                  <pic:blipFill>
                    <a:blip r:embed="rId6"/>
                    <a:stretch>
                      <a:fillRect/>
                    </a:stretch>
                  </pic:blipFill>
                  <pic:spPr>
                    <a:xfrm>
                      <a:off x="0" y="0"/>
                      <a:ext cx="6187440" cy="3401695"/>
                    </a:xfrm>
                    <a:prstGeom prst="rect">
                      <a:avLst/>
                    </a:prstGeom>
                  </pic:spPr>
                </pic:pic>
              </a:graphicData>
            </a:graphic>
          </wp:inline>
        </w:drawing>
      </w:r>
      <w:bookmarkEnd w:id="0"/>
      <w:r>
        <w:rPr>
          <w:rStyle w:val="10"/>
          <w:rFonts w:ascii="Verdana" w:hAnsi="Verdana" w:cs="Verdana"/>
          <w:color w:val="333333"/>
          <w:sz w:val="18"/>
          <w:szCs w:val="18"/>
          <w:shd w:val="clear" w:color="auto" w:fill="FEFCFD"/>
        </w:rPr>
        <w:t>Product Overview</w:t>
      </w:r>
    </w:p>
    <w:p w14:paraId="4E6BD81C">
      <w:pPr>
        <w:pStyle w:val="6"/>
        <w:widowControl/>
        <w:spacing w:beforeAutospacing="0" w:afterAutospacing="0" w:line="324" w:lineRule="atLeast"/>
        <w:ind w:left="424"/>
      </w:pPr>
      <w:r>
        <w:rPr>
          <w:rFonts w:hint="eastAsia" w:ascii="Verdana" w:hAnsi="Verdana" w:cs="Verdana"/>
          <w:color w:val="333333"/>
          <w:sz w:val="18"/>
          <w:szCs w:val="18"/>
          <w:shd w:val="clear" w:color="auto" w:fill="FEFCFD"/>
          <w:lang w:eastAsia="zh-CN"/>
        </w:rPr>
        <w:t>The FMUSER FUQ-4419R is a DVB-T modulator that accepts up to 768 IP inputs via GE/SFP ports and outputs 8, 16, or 24 non-adjacent RF carriers (50-960MHz). It processes IP streams through multiplexing and modulation into DVB-T compliant signals. With high integration, low cost, and web-based network management, this device is ideal for digital TV broadcasting, cable headends, and IPTV systems.</w:t>
      </w:r>
      <w:r>
        <w:rPr>
          <w:rFonts w:ascii="Verdana" w:hAnsi="Verdana" w:cs="Verdana"/>
          <w:color w:val="333333"/>
          <w:sz w:val="18"/>
          <w:szCs w:val="18"/>
          <w:shd w:val="clear" w:color="auto" w:fill="FEFCFD"/>
        </w:rPr>
        <w:t> </w:t>
      </w:r>
    </w:p>
    <w:p w14:paraId="598AFDDD">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 w:val="18"/>
          <w:szCs w:val="18"/>
          <w:shd w:val="clear" w:color="auto" w:fill="FEFCFD"/>
          <w:lang w:eastAsia="zh-CN"/>
        </w:rPr>
        <w:t>Key feature</w:t>
      </w:r>
    </w:p>
    <w:p w14:paraId="2F971F04">
      <w:pPr>
        <w:pStyle w:val="6"/>
        <w:widowControl/>
        <w:spacing w:beforeAutospacing="0" w:afterAutospacing="0" w:line="324" w:lineRule="atLeast"/>
        <w:ind w:left="424"/>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up to 768 IP inputs via GE/SFP ports with max 840Mbps per input.  </w:t>
      </w:r>
    </w:p>
    <w:p w14:paraId="0BF4CB7F">
      <w:pPr>
        <w:pStyle w:val="6"/>
        <w:widowControl/>
        <w:spacing w:beforeAutospacing="0" w:afterAutospacing="0" w:line="324" w:lineRule="atLeast"/>
        <w:ind w:left="424"/>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PID remapping, PSI/SI editing, and outputs DVB-T carriers compliant with ETSI EN300 744.  </w:t>
      </w:r>
    </w:p>
    <w:p w14:paraId="3E0FA8DE">
      <w:pPr>
        <w:pStyle w:val="6"/>
        <w:widowControl/>
        <w:spacing w:beforeAutospacing="0" w:afterAutospacing="0" w:line="324" w:lineRule="atLeast"/>
        <w:ind w:left="424"/>
      </w:pPr>
      <w:r>
        <w:rPr>
          <w:rFonts w:hint="eastAsia" w:ascii="Verdana" w:hAnsi="Verdana" w:cs="Verdana"/>
          <w:color w:val="333333"/>
          <w:sz w:val="18"/>
          <w:szCs w:val="18"/>
          <w:shd w:val="clear" w:color="auto" w:fill="FEFCFD"/>
        </w:rPr>
        <w:t xml:space="preserve">Enables web-based network management for easy configuration and monitoring.  </w:t>
      </w:r>
      <w:r>
        <w:rPr>
          <w:rFonts w:ascii="Verdana" w:hAnsi="Verdana" w:cs="Verdana"/>
          <w:color w:val="333333"/>
          <w:sz w:val="18"/>
          <w:szCs w:val="18"/>
          <w:shd w:val="clear" w:color="auto" w:fill="FEFCFD"/>
        </w:rPr>
        <w:t> </w:t>
      </w:r>
    </w:p>
    <w:p w14:paraId="2F73412A">
      <w:pPr>
        <w:pStyle w:val="6"/>
        <w:widowControl/>
        <w:spacing w:beforeAutospacing="0" w:afterAutospacing="0" w:line="324" w:lineRule="atLeast"/>
      </w:pPr>
      <w:r>
        <w:rPr>
          <w:rStyle w:val="10"/>
          <w:rFonts w:ascii="Verdana" w:hAnsi="Verdana" w:cs="Verdana"/>
          <w:color w:val="333333"/>
          <w:sz w:val="18"/>
          <w:szCs w:val="18"/>
          <w:shd w:val="clear" w:color="auto" w:fill="FEFCFD"/>
        </w:rPr>
        <w:t>Inner Principle Chart</w:t>
      </w:r>
    </w:p>
    <w:p w14:paraId="34536B14">
      <w:pPr>
        <w:pStyle w:val="6"/>
        <w:widowControl/>
        <w:spacing w:beforeAutospacing="0" w:afterAutospacing="0" w:line="324" w:lineRule="atLeast"/>
      </w:pPr>
      <w:r>
        <w:rPr>
          <w:rStyle w:val="10"/>
          <w:rFonts w:ascii="Verdana" w:hAnsi="Verdana" w:cs="Verdana"/>
          <w:color w:val="333333"/>
          <w:sz w:val="18"/>
          <w:szCs w:val="18"/>
          <w:shd w:val="clear" w:color="auto" w:fill="FEFCFD"/>
        </w:rPr>
        <w:t>        Version I &amp; II - For 8&amp;16 carriers out):</w:t>
      </w:r>
    </w:p>
    <w:p w14:paraId="7AE5568E">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drawing>
          <wp:inline distT="0" distB="0" distL="114300" distR="114300">
            <wp:extent cx="6183630" cy="1528445"/>
            <wp:effectExtent l="0" t="0" r="7620" b="14605"/>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3630" cy="1528445"/>
                    </a:xfrm>
                    <a:prstGeom prst="rect">
                      <a:avLst/>
                    </a:prstGeom>
                    <a:noFill/>
                    <a:ln w="9525">
                      <a:noFill/>
                    </a:ln>
                  </pic:spPr>
                </pic:pic>
              </a:graphicData>
            </a:graphic>
          </wp:inline>
        </w:drawing>
      </w:r>
    </w:p>
    <w:p w14:paraId="37E22695">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01A762A2">
      <w:pPr>
        <w:pStyle w:val="6"/>
        <w:widowControl/>
        <w:spacing w:beforeAutospacing="0" w:afterAutospacing="0" w:line="324" w:lineRule="atLeast"/>
        <w:ind w:left="424"/>
      </w:pPr>
      <w:r>
        <w:rPr>
          <w:rStyle w:val="10"/>
          <w:rFonts w:ascii="Verdana" w:hAnsi="Verdana" w:cs="Verdana"/>
          <w:color w:val="333333"/>
          <w:sz w:val="18"/>
          <w:szCs w:val="18"/>
          <w:shd w:val="clear" w:color="auto" w:fill="FEFCFD"/>
        </w:rPr>
        <w:t>Version III - For 24 carriers out):: </w:t>
      </w:r>
    </w:p>
    <w:p w14:paraId="79DAC195">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drawing>
          <wp:inline distT="0" distB="0" distL="114300" distR="114300">
            <wp:extent cx="6186170" cy="1543685"/>
            <wp:effectExtent l="0" t="0" r="5080" b="18415"/>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6186170" cy="1543685"/>
                    </a:xfrm>
                    <a:prstGeom prst="rect">
                      <a:avLst/>
                    </a:prstGeom>
                    <a:noFill/>
                    <a:ln w="9525">
                      <a:noFill/>
                    </a:ln>
                  </pic:spPr>
                </pic:pic>
              </a:graphicData>
            </a:graphic>
          </wp:inline>
        </w:drawing>
      </w:r>
    </w:p>
    <w:p w14:paraId="63DAB093">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48517A2A">
      <w:pPr>
        <w:pStyle w:val="6"/>
        <w:widowControl/>
        <w:spacing w:beforeAutospacing="0" w:afterAutospacing="0" w:line="324" w:lineRule="atLeast"/>
      </w:pPr>
      <w:r>
        <w:rPr>
          <w:rStyle w:val="10"/>
          <w:rFonts w:ascii="Verdana" w:hAnsi="Verdana" w:cs="Verdana"/>
          <w:color w:val="333333"/>
          <w:sz w:val="18"/>
          <w:szCs w:val="18"/>
          <w:shd w:val="clear" w:color="auto" w:fill="FEFCFD"/>
        </w:rPr>
        <w:t>Carrier Setting Illustration</w:t>
      </w:r>
    </w:p>
    <w:p w14:paraId="7786B93B">
      <w:pPr>
        <w:pStyle w:val="6"/>
        <w:widowControl/>
        <w:spacing w:beforeAutospacing="0" w:afterAutospacing="0" w:line="324" w:lineRule="atLeast"/>
        <w:ind w:left="424"/>
        <w:jc w:val="center"/>
      </w:pPr>
      <w:r>
        <w:rPr>
          <w:rStyle w:val="10"/>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6182360" cy="2458085"/>
            <wp:effectExtent l="0" t="0" r="8890" b="18415"/>
            <wp:docPr id="2"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2"/>
                    <a:stretch>
                      <a:fillRect/>
                    </a:stretch>
                  </pic:blipFill>
                  <pic:spPr>
                    <a:xfrm>
                      <a:off x="0" y="0"/>
                      <a:ext cx="6182360" cy="2458085"/>
                    </a:xfrm>
                    <a:prstGeom prst="rect">
                      <a:avLst/>
                    </a:prstGeom>
                    <a:noFill/>
                    <a:ln w="9525">
                      <a:noFill/>
                    </a:ln>
                  </pic:spPr>
                </pic:pic>
              </a:graphicData>
            </a:graphic>
          </wp:inline>
        </w:drawing>
      </w:r>
    </w:p>
    <w:p w14:paraId="02AE702C">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40D6AA83">
      <w:pPr>
        <w:pStyle w:val="6"/>
        <w:widowControl/>
        <w:spacing w:beforeAutospacing="0" w:afterAutospacing="0" w:line="324" w:lineRule="atLeast"/>
        <w:ind w:left="424"/>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91"/>
        <w:gridCol w:w="2125"/>
        <w:gridCol w:w="5934"/>
      </w:tblGrid>
      <w:tr w14:paraId="4CB8AB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restart"/>
            <w:shd w:val="clear" w:color="auto" w:fill="auto"/>
            <w:vAlign w:val="center"/>
          </w:tcPr>
          <w:p w14:paraId="3C5E3DE9">
            <w:pPr>
              <w:pStyle w:val="6"/>
              <w:widowControl/>
              <w:spacing w:beforeAutospacing="0" w:afterAutospacing="0" w:line="324" w:lineRule="atLeast"/>
            </w:pPr>
            <w:r>
              <w:rPr>
                <w:rStyle w:val="10"/>
              </w:rPr>
              <w:t>Input</w:t>
            </w:r>
          </w:p>
        </w:tc>
        <w:tc>
          <w:tcPr>
            <w:tcW w:w="2130" w:type="dxa"/>
            <w:shd w:val="clear" w:color="auto" w:fill="auto"/>
            <w:vAlign w:val="center"/>
          </w:tcPr>
          <w:p w14:paraId="792DE0FB">
            <w:pPr>
              <w:pStyle w:val="6"/>
              <w:widowControl/>
              <w:spacing w:beforeAutospacing="0" w:afterAutospacing="0" w:line="324" w:lineRule="atLeast"/>
            </w:pPr>
            <w:r>
              <w:t>Input</w:t>
            </w:r>
          </w:p>
        </w:tc>
        <w:tc>
          <w:tcPr>
            <w:tcW w:w="0" w:type="auto"/>
            <w:shd w:val="clear" w:color="auto" w:fill="auto"/>
            <w:vAlign w:val="center"/>
          </w:tcPr>
          <w:p w14:paraId="07F191CF">
            <w:pPr>
              <w:pStyle w:val="6"/>
              <w:widowControl/>
              <w:spacing w:beforeAutospacing="0" w:afterAutospacing="0" w:line="324" w:lineRule="atLeast"/>
            </w:pPr>
            <w:r>
              <w:t>Max 256/512 IP input through 3 (front-panel Data port, Data 1 and Data 2) 100/1000M Ethernet Port (SFP interface optional). - For Version I &amp; II</w:t>
            </w:r>
          </w:p>
          <w:p w14:paraId="6F9909D9">
            <w:pPr>
              <w:pStyle w:val="6"/>
              <w:widowControl/>
              <w:spacing w:beforeAutospacing="0" w:afterAutospacing="0" w:line="324" w:lineRule="atLeast"/>
            </w:pPr>
            <w:r>
              <w:t>Max 768 IP input through data ports 1 to 4 100/1000M Ethernet Ports (RJ45 and SFP interface alternative). –For Version III</w:t>
            </w:r>
          </w:p>
        </w:tc>
      </w:tr>
      <w:tr w14:paraId="036F7F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67805D35">
            <w:pPr>
              <w:jc w:val="left"/>
              <w:rPr>
                <w:rFonts w:ascii="宋体"/>
                <w:sz w:val="24"/>
                <w:szCs w:val="24"/>
              </w:rPr>
            </w:pPr>
          </w:p>
        </w:tc>
        <w:tc>
          <w:tcPr>
            <w:tcW w:w="2130" w:type="dxa"/>
            <w:shd w:val="clear" w:color="auto" w:fill="auto"/>
            <w:vAlign w:val="center"/>
          </w:tcPr>
          <w:p w14:paraId="48ADF558">
            <w:pPr>
              <w:pStyle w:val="6"/>
              <w:widowControl/>
              <w:spacing w:beforeAutospacing="0" w:afterAutospacing="0" w:line="324" w:lineRule="atLeast"/>
            </w:pPr>
            <w:r>
              <w:t>Transport Protocol</w:t>
            </w:r>
          </w:p>
        </w:tc>
        <w:tc>
          <w:tcPr>
            <w:tcW w:w="5955" w:type="dxa"/>
            <w:shd w:val="clear" w:color="auto" w:fill="auto"/>
            <w:vAlign w:val="center"/>
          </w:tcPr>
          <w:p w14:paraId="62CD5E9F">
            <w:pPr>
              <w:pStyle w:val="6"/>
              <w:widowControl/>
              <w:spacing w:beforeAutospacing="0" w:afterAutospacing="0" w:line="324" w:lineRule="atLeast"/>
            </w:pPr>
            <w:r>
              <w:t>TS over UDP/RTP, unicast and multicast, IGMP V2/V3</w:t>
            </w:r>
          </w:p>
        </w:tc>
      </w:tr>
      <w:tr w14:paraId="54B798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95" w:type="dxa"/>
            <w:vMerge w:val="continue"/>
            <w:shd w:val="clear" w:color="auto" w:fill="auto"/>
            <w:vAlign w:val="center"/>
          </w:tcPr>
          <w:p w14:paraId="6DBB122B">
            <w:pPr>
              <w:jc w:val="left"/>
              <w:rPr>
                <w:rFonts w:ascii="宋体"/>
                <w:sz w:val="24"/>
                <w:szCs w:val="24"/>
              </w:rPr>
            </w:pPr>
          </w:p>
        </w:tc>
        <w:tc>
          <w:tcPr>
            <w:tcW w:w="2130" w:type="dxa"/>
            <w:shd w:val="clear" w:color="auto" w:fill="auto"/>
            <w:vAlign w:val="center"/>
          </w:tcPr>
          <w:p w14:paraId="013ED964">
            <w:pPr>
              <w:pStyle w:val="6"/>
              <w:widowControl/>
              <w:spacing w:beforeAutospacing="0" w:afterAutospacing="0" w:line="324" w:lineRule="atLeast"/>
            </w:pPr>
            <w:r>
              <w:t>Transmission Rate</w:t>
            </w:r>
          </w:p>
        </w:tc>
        <w:tc>
          <w:tcPr>
            <w:tcW w:w="5955" w:type="dxa"/>
            <w:shd w:val="clear" w:color="auto" w:fill="auto"/>
            <w:vAlign w:val="center"/>
          </w:tcPr>
          <w:p w14:paraId="2167223A">
            <w:pPr>
              <w:pStyle w:val="6"/>
              <w:widowControl/>
              <w:spacing w:beforeAutospacing="0" w:afterAutospacing="0" w:line="324" w:lineRule="atLeast"/>
            </w:pPr>
            <w:r>
              <w:t>Max 840Mbps for each input channel</w:t>
            </w:r>
          </w:p>
        </w:tc>
      </w:tr>
      <w:tr w14:paraId="4D06BD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695" w:type="dxa"/>
            <w:vMerge w:val="restart"/>
            <w:shd w:val="clear" w:color="auto" w:fill="auto"/>
            <w:vAlign w:val="center"/>
          </w:tcPr>
          <w:p w14:paraId="22CF9614">
            <w:pPr>
              <w:pStyle w:val="6"/>
              <w:widowControl/>
              <w:spacing w:beforeAutospacing="0" w:afterAutospacing="0" w:line="324" w:lineRule="atLeast"/>
            </w:pPr>
            <w:r>
              <w:rPr>
                <w:rStyle w:val="10"/>
              </w:rPr>
              <w:t>Mux</w:t>
            </w:r>
          </w:p>
        </w:tc>
        <w:tc>
          <w:tcPr>
            <w:tcW w:w="2130" w:type="dxa"/>
            <w:shd w:val="clear" w:color="auto" w:fill="auto"/>
            <w:vAlign w:val="center"/>
          </w:tcPr>
          <w:p w14:paraId="55323183">
            <w:pPr>
              <w:pStyle w:val="6"/>
              <w:widowControl/>
              <w:spacing w:beforeAutospacing="0" w:afterAutospacing="0" w:line="324" w:lineRule="atLeast"/>
            </w:pPr>
            <w:r>
              <w:t>Input Channel</w:t>
            </w:r>
          </w:p>
        </w:tc>
        <w:tc>
          <w:tcPr>
            <w:tcW w:w="5955" w:type="dxa"/>
            <w:shd w:val="clear" w:color="auto" w:fill="auto"/>
            <w:vAlign w:val="center"/>
          </w:tcPr>
          <w:p w14:paraId="2C4311E2">
            <w:pPr>
              <w:pStyle w:val="6"/>
              <w:widowControl/>
              <w:spacing w:beforeAutospacing="0" w:afterAutospacing="0" w:line="324" w:lineRule="atLeast"/>
            </w:pPr>
            <w:r>
              <w:t>256 IP streams - Version I</w:t>
            </w:r>
          </w:p>
          <w:p w14:paraId="23D38877">
            <w:pPr>
              <w:pStyle w:val="6"/>
              <w:widowControl/>
              <w:spacing w:beforeAutospacing="0" w:afterAutospacing="0" w:line="324" w:lineRule="atLeast"/>
            </w:pPr>
            <w:r>
              <w:t>512 IP streams - Version II</w:t>
            </w:r>
          </w:p>
          <w:p w14:paraId="48776349">
            <w:pPr>
              <w:pStyle w:val="6"/>
              <w:widowControl/>
              <w:spacing w:beforeAutospacing="0" w:afterAutospacing="0" w:line="324" w:lineRule="atLeast"/>
            </w:pPr>
            <w:r>
              <w:t>768 IP streams - Version III</w:t>
            </w:r>
          </w:p>
        </w:tc>
      </w:tr>
      <w:tr w14:paraId="360EFD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0A5DAB0E">
            <w:pPr>
              <w:jc w:val="left"/>
              <w:rPr>
                <w:rFonts w:ascii="宋体"/>
                <w:sz w:val="24"/>
                <w:szCs w:val="24"/>
              </w:rPr>
            </w:pPr>
          </w:p>
        </w:tc>
        <w:tc>
          <w:tcPr>
            <w:tcW w:w="2130" w:type="dxa"/>
            <w:shd w:val="clear" w:color="auto" w:fill="auto"/>
            <w:vAlign w:val="center"/>
          </w:tcPr>
          <w:p w14:paraId="333BC683">
            <w:pPr>
              <w:pStyle w:val="6"/>
              <w:widowControl/>
              <w:spacing w:beforeAutospacing="0" w:afterAutospacing="0" w:line="324" w:lineRule="atLeast"/>
            </w:pPr>
            <w:r>
              <w:t>Output Channel</w:t>
            </w:r>
          </w:p>
        </w:tc>
        <w:tc>
          <w:tcPr>
            <w:tcW w:w="5955" w:type="dxa"/>
            <w:shd w:val="clear" w:color="auto" w:fill="auto"/>
            <w:vAlign w:val="center"/>
          </w:tcPr>
          <w:p w14:paraId="72A8137C">
            <w:pPr>
              <w:pStyle w:val="6"/>
              <w:widowControl/>
              <w:spacing w:beforeAutospacing="0" w:afterAutospacing="0" w:line="324" w:lineRule="atLeast"/>
            </w:pPr>
            <w:r>
              <w:t>8 (or 16, or 24)</w:t>
            </w:r>
          </w:p>
        </w:tc>
      </w:tr>
      <w:tr w14:paraId="23B96A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28F0EF96">
            <w:pPr>
              <w:jc w:val="left"/>
              <w:rPr>
                <w:rFonts w:ascii="宋体"/>
                <w:sz w:val="24"/>
                <w:szCs w:val="24"/>
              </w:rPr>
            </w:pPr>
          </w:p>
        </w:tc>
        <w:tc>
          <w:tcPr>
            <w:tcW w:w="2130" w:type="dxa"/>
            <w:shd w:val="clear" w:color="auto" w:fill="auto"/>
            <w:vAlign w:val="center"/>
          </w:tcPr>
          <w:p w14:paraId="44E16B40">
            <w:pPr>
              <w:pStyle w:val="6"/>
              <w:widowControl/>
              <w:spacing w:beforeAutospacing="0" w:afterAutospacing="0" w:line="324" w:lineRule="atLeast"/>
            </w:pPr>
            <w:r>
              <w:t>Max PIDs</w:t>
            </w:r>
          </w:p>
        </w:tc>
        <w:tc>
          <w:tcPr>
            <w:tcW w:w="5955" w:type="dxa"/>
            <w:shd w:val="clear" w:color="auto" w:fill="auto"/>
            <w:vAlign w:val="center"/>
          </w:tcPr>
          <w:p w14:paraId="1E42DAEA">
            <w:pPr>
              <w:pStyle w:val="6"/>
              <w:widowControl/>
              <w:spacing w:beforeAutospacing="0" w:afterAutospacing="0" w:line="324" w:lineRule="atLeast"/>
            </w:pPr>
            <w:r>
              <w:t>180 per channel</w:t>
            </w:r>
          </w:p>
        </w:tc>
      </w:tr>
      <w:tr w14:paraId="001FA0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695" w:type="dxa"/>
            <w:vMerge w:val="continue"/>
            <w:shd w:val="clear" w:color="auto" w:fill="auto"/>
            <w:vAlign w:val="center"/>
          </w:tcPr>
          <w:p w14:paraId="2C17B98A">
            <w:pPr>
              <w:jc w:val="left"/>
              <w:rPr>
                <w:rFonts w:ascii="宋体"/>
                <w:sz w:val="24"/>
                <w:szCs w:val="24"/>
              </w:rPr>
            </w:pPr>
          </w:p>
        </w:tc>
        <w:tc>
          <w:tcPr>
            <w:tcW w:w="2130" w:type="dxa"/>
            <w:vMerge w:val="restart"/>
            <w:shd w:val="clear" w:color="auto" w:fill="auto"/>
            <w:vAlign w:val="center"/>
          </w:tcPr>
          <w:p w14:paraId="7F7AD136">
            <w:pPr>
              <w:pStyle w:val="6"/>
              <w:widowControl/>
              <w:spacing w:beforeAutospacing="0" w:afterAutospacing="0" w:line="324" w:lineRule="atLeast"/>
            </w:pPr>
            <w:r>
              <w:t>Functions</w:t>
            </w:r>
          </w:p>
        </w:tc>
        <w:tc>
          <w:tcPr>
            <w:tcW w:w="5955" w:type="dxa"/>
            <w:shd w:val="clear" w:color="auto" w:fill="auto"/>
            <w:vAlign w:val="center"/>
          </w:tcPr>
          <w:p w14:paraId="16255D1F">
            <w:pPr>
              <w:pStyle w:val="6"/>
              <w:widowControl/>
              <w:spacing w:beforeAutospacing="0" w:afterAutospacing="0" w:line="324" w:lineRule="atLeast"/>
            </w:pPr>
            <w:r>
              <w:t>PID remapping(auto/manually optional)</w:t>
            </w:r>
          </w:p>
        </w:tc>
      </w:tr>
      <w:tr w14:paraId="03DDB6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95" w:type="dxa"/>
            <w:vMerge w:val="continue"/>
            <w:shd w:val="clear" w:color="auto" w:fill="auto"/>
            <w:vAlign w:val="center"/>
          </w:tcPr>
          <w:p w14:paraId="7A8A8F8B">
            <w:pPr>
              <w:jc w:val="left"/>
              <w:rPr>
                <w:rFonts w:ascii="宋体"/>
                <w:sz w:val="24"/>
                <w:szCs w:val="24"/>
              </w:rPr>
            </w:pPr>
          </w:p>
        </w:tc>
        <w:tc>
          <w:tcPr>
            <w:tcW w:w="2130" w:type="dxa"/>
            <w:vMerge w:val="continue"/>
            <w:shd w:val="clear" w:color="auto" w:fill="auto"/>
            <w:vAlign w:val="center"/>
          </w:tcPr>
          <w:p w14:paraId="78EC424E">
            <w:pPr>
              <w:jc w:val="left"/>
              <w:rPr>
                <w:rFonts w:ascii="宋体"/>
                <w:sz w:val="24"/>
                <w:szCs w:val="24"/>
              </w:rPr>
            </w:pPr>
          </w:p>
        </w:tc>
        <w:tc>
          <w:tcPr>
            <w:tcW w:w="5955" w:type="dxa"/>
            <w:shd w:val="clear" w:color="auto" w:fill="auto"/>
            <w:vAlign w:val="center"/>
          </w:tcPr>
          <w:p w14:paraId="46620EBC">
            <w:pPr>
              <w:pStyle w:val="6"/>
              <w:widowControl/>
              <w:spacing w:beforeAutospacing="0" w:afterAutospacing="0" w:line="324" w:lineRule="atLeast"/>
            </w:pPr>
            <w:r>
              <w:t>PCR accurate adjusting</w:t>
            </w:r>
          </w:p>
        </w:tc>
      </w:tr>
      <w:tr w14:paraId="1520A0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695" w:type="dxa"/>
            <w:vMerge w:val="continue"/>
            <w:shd w:val="clear" w:color="auto" w:fill="auto"/>
            <w:vAlign w:val="center"/>
          </w:tcPr>
          <w:p w14:paraId="7D10E337">
            <w:pPr>
              <w:jc w:val="left"/>
              <w:rPr>
                <w:rFonts w:ascii="宋体"/>
                <w:sz w:val="24"/>
                <w:szCs w:val="24"/>
              </w:rPr>
            </w:pPr>
          </w:p>
        </w:tc>
        <w:tc>
          <w:tcPr>
            <w:tcW w:w="2130" w:type="dxa"/>
            <w:vMerge w:val="continue"/>
            <w:shd w:val="clear" w:color="auto" w:fill="auto"/>
            <w:vAlign w:val="center"/>
          </w:tcPr>
          <w:p w14:paraId="5A05A2FD">
            <w:pPr>
              <w:jc w:val="left"/>
              <w:rPr>
                <w:rFonts w:ascii="宋体"/>
                <w:sz w:val="24"/>
                <w:szCs w:val="24"/>
              </w:rPr>
            </w:pPr>
          </w:p>
        </w:tc>
        <w:tc>
          <w:tcPr>
            <w:tcW w:w="5955" w:type="dxa"/>
            <w:shd w:val="clear" w:color="auto" w:fill="auto"/>
            <w:vAlign w:val="center"/>
          </w:tcPr>
          <w:p w14:paraId="1E2639AD">
            <w:pPr>
              <w:pStyle w:val="6"/>
              <w:widowControl/>
              <w:spacing w:beforeAutospacing="0" w:afterAutospacing="0" w:line="324" w:lineRule="atLeast"/>
            </w:pPr>
            <w:r>
              <w:t>PSI/SI table automatically generating</w:t>
            </w:r>
          </w:p>
        </w:tc>
      </w:tr>
      <w:tr w14:paraId="42D6A7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restart"/>
            <w:shd w:val="clear" w:color="auto" w:fill="auto"/>
            <w:vAlign w:val="center"/>
          </w:tcPr>
          <w:p w14:paraId="78514A8E">
            <w:pPr>
              <w:pStyle w:val="6"/>
              <w:widowControl/>
              <w:spacing w:beforeAutospacing="0" w:afterAutospacing="0" w:line="324" w:lineRule="atLeast"/>
            </w:pPr>
            <w:r>
              <w:rPr>
                <w:rStyle w:val="10"/>
              </w:rPr>
              <w:t>Modulation</w:t>
            </w:r>
          </w:p>
          <w:p w14:paraId="44630F76">
            <w:pPr>
              <w:pStyle w:val="6"/>
              <w:widowControl/>
              <w:spacing w:beforeAutospacing="0" w:afterAutospacing="0" w:line="324" w:lineRule="atLeast"/>
            </w:pPr>
            <w:r>
              <w:rPr>
                <w:rStyle w:val="10"/>
              </w:rPr>
              <w:t>Parameters</w:t>
            </w:r>
          </w:p>
        </w:tc>
        <w:tc>
          <w:tcPr>
            <w:tcW w:w="2130" w:type="dxa"/>
            <w:shd w:val="clear" w:color="auto" w:fill="auto"/>
            <w:vAlign w:val="center"/>
          </w:tcPr>
          <w:p w14:paraId="00C3FCD0">
            <w:pPr>
              <w:pStyle w:val="6"/>
              <w:widowControl/>
              <w:spacing w:beforeAutospacing="0" w:afterAutospacing="0" w:line="324" w:lineRule="atLeast"/>
            </w:pPr>
            <w:r>
              <w:t>Output Channel</w:t>
            </w:r>
          </w:p>
        </w:tc>
        <w:tc>
          <w:tcPr>
            <w:tcW w:w="5955" w:type="dxa"/>
            <w:shd w:val="clear" w:color="auto" w:fill="auto"/>
            <w:vAlign w:val="center"/>
          </w:tcPr>
          <w:p w14:paraId="2C3834DF">
            <w:pPr>
              <w:pStyle w:val="6"/>
              <w:widowControl/>
              <w:spacing w:beforeAutospacing="0" w:afterAutospacing="0" w:line="324" w:lineRule="atLeast"/>
            </w:pPr>
            <w:r>
              <w:t>8 non-adjacent carriers output - Version I</w:t>
            </w:r>
          </w:p>
          <w:p w14:paraId="45C7AD4E">
            <w:pPr>
              <w:pStyle w:val="6"/>
              <w:widowControl/>
              <w:spacing w:beforeAutospacing="0" w:afterAutospacing="0" w:line="324" w:lineRule="atLeast"/>
            </w:pPr>
            <w:r>
              <w:t>16 non-adjacent carriers output - Version II</w:t>
            </w:r>
          </w:p>
          <w:p w14:paraId="7F0C03B6">
            <w:pPr>
              <w:pStyle w:val="6"/>
              <w:widowControl/>
              <w:spacing w:beforeAutospacing="0" w:afterAutospacing="0" w:line="324" w:lineRule="atLeast"/>
            </w:pPr>
            <w:r>
              <w:t>24 non-adjacent carriers output - Version III</w:t>
            </w:r>
          </w:p>
        </w:tc>
      </w:tr>
      <w:tr w14:paraId="3B1CDF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95" w:type="dxa"/>
            <w:vMerge w:val="continue"/>
            <w:shd w:val="clear" w:color="auto" w:fill="auto"/>
            <w:vAlign w:val="center"/>
          </w:tcPr>
          <w:p w14:paraId="36742A0E">
            <w:pPr>
              <w:jc w:val="left"/>
              <w:rPr>
                <w:rFonts w:ascii="宋体"/>
                <w:sz w:val="24"/>
                <w:szCs w:val="24"/>
              </w:rPr>
            </w:pPr>
          </w:p>
        </w:tc>
        <w:tc>
          <w:tcPr>
            <w:tcW w:w="2130" w:type="dxa"/>
            <w:shd w:val="clear" w:color="auto" w:fill="auto"/>
            <w:vAlign w:val="center"/>
          </w:tcPr>
          <w:p w14:paraId="46542C01">
            <w:pPr>
              <w:pStyle w:val="6"/>
              <w:widowControl/>
              <w:spacing w:beforeAutospacing="0" w:afterAutospacing="0" w:line="324" w:lineRule="atLeast"/>
            </w:pPr>
            <w:r>
              <w:t>Modulation Standard</w:t>
            </w:r>
          </w:p>
        </w:tc>
        <w:tc>
          <w:tcPr>
            <w:tcW w:w="5955" w:type="dxa"/>
            <w:shd w:val="clear" w:color="auto" w:fill="auto"/>
            <w:vAlign w:val="center"/>
          </w:tcPr>
          <w:p w14:paraId="47E1587D">
            <w:pPr>
              <w:pStyle w:val="6"/>
              <w:widowControl/>
              <w:spacing w:beforeAutospacing="0" w:afterAutospacing="0" w:line="324" w:lineRule="atLeast"/>
            </w:pPr>
            <w:r>
              <w:t>ETSI EN300 744</w:t>
            </w:r>
          </w:p>
        </w:tc>
      </w:tr>
      <w:tr w14:paraId="6B1D44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3491A799">
            <w:pPr>
              <w:jc w:val="left"/>
              <w:rPr>
                <w:rFonts w:ascii="宋体"/>
                <w:sz w:val="24"/>
                <w:szCs w:val="24"/>
              </w:rPr>
            </w:pPr>
          </w:p>
        </w:tc>
        <w:tc>
          <w:tcPr>
            <w:tcW w:w="2130" w:type="dxa"/>
            <w:shd w:val="clear" w:color="auto" w:fill="auto"/>
            <w:vAlign w:val="center"/>
          </w:tcPr>
          <w:p w14:paraId="794264BF">
            <w:pPr>
              <w:pStyle w:val="6"/>
              <w:widowControl/>
              <w:spacing w:beforeAutospacing="0" w:afterAutospacing="0" w:line="324" w:lineRule="atLeast"/>
            </w:pPr>
            <w:r>
              <w:t>Constellation</w:t>
            </w:r>
          </w:p>
        </w:tc>
        <w:tc>
          <w:tcPr>
            <w:tcW w:w="5955" w:type="dxa"/>
            <w:shd w:val="clear" w:color="auto" w:fill="auto"/>
            <w:vAlign w:val="center"/>
          </w:tcPr>
          <w:p w14:paraId="0E475E51">
            <w:pPr>
              <w:pStyle w:val="6"/>
              <w:widowControl/>
              <w:spacing w:beforeAutospacing="0" w:afterAutospacing="0" w:line="324" w:lineRule="atLeast"/>
            </w:pPr>
            <w:r>
              <w:t>QPSK/16QAM/64QAM</w:t>
            </w:r>
          </w:p>
        </w:tc>
      </w:tr>
      <w:tr w14:paraId="7976C1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02932063">
            <w:pPr>
              <w:jc w:val="left"/>
              <w:rPr>
                <w:rFonts w:ascii="宋体"/>
                <w:sz w:val="24"/>
                <w:szCs w:val="24"/>
              </w:rPr>
            </w:pPr>
          </w:p>
        </w:tc>
        <w:tc>
          <w:tcPr>
            <w:tcW w:w="2130" w:type="dxa"/>
            <w:shd w:val="clear" w:color="auto" w:fill="auto"/>
            <w:vAlign w:val="center"/>
          </w:tcPr>
          <w:p w14:paraId="04086D9A">
            <w:pPr>
              <w:pStyle w:val="6"/>
              <w:widowControl/>
              <w:spacing w:beforeAutospacing="0" w:afterAutospacing="0" w:line="324" w:lineRule="atLeast"/>
            </w:pPr>
            <w:r>
              <w:t>Bandwidth</w:t>
            </w:r>
          </w:p>
        </w:tc>
        <w:tc>
          <w:tcPr>
            <w:tcW w:w="5955" w:type="dxa"/>
            <w:shd w:val="clear" w:color="auto" w:fill="auto"/>
            <w:vAlign w:val="center"/>
          </w:tcPr>
          <w:p w14:paraId="31243EA9">
            <w:pPr>
              <w:pStyle w:val="6"/>
              <w:widowControl/>
              <w:spacing w:beforeAutospacing="0" w:afterAutospacing="0" w:line="324" w:lineRule="atLeast"/>
            </w:pPr>
            <w:r>
              <w:t>6/7/8 MHz</w:t>
            </w:r>
          </w:p>
        </w:tc>
      </w:tr>
      <w:tr w14:paraId="2DF048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759CF275">
            <w:pPr>
              <w:jc w:val="left"/>
              <w:rPr>
                <w:rFonts w:ascii="宋体"/>
                <w:sz w:val="24"/>
                <w:szCs w:val="24"/>
              </w:rPr>
            </w:pPr>
          </w:p>
        </w:tc>
        <w:tc>
          <w:tcPr>
            <w:tcW w:w="2130" w:type="dxa"/>
            <w:shd w:val="clear" w:color="auto" w:fill="auto"/>
            <w:vAlign w:val="center"/>
          </w:tcPr>
          <w:p w14:paraId="4298FAD4">
            <w:pPr>
              <w:pStyle w:val="6"/>
              <w:widowControl/>
              <w:spacing w:beforeAutospacing="0" w:afterAutospacing="0" w:line="324" w:lineRule="atLeast"/>
            </w:pPr>
            <w:r>
              <w:t>Trans mode</w:t>
            </w:r>
          </w:p>
        </w:tc>
        <w:tc>
          <w:tcPr>
            <w:tcW w:w="5955" w:type="dxa"/>
            <w:shd w:val="clear" w:color="auto" w:fill="auto"/>
            <w:vAlign w:val="center"/>
          </w:tcPr>
          <w:p w14:paraId="0CD94E00">
            <w:pPr>
              <w:pStyle w:val="6"/>
              <w:widowControl/>
              <w:spacing w:beforeAutospacing="0" w:afterAutospacing="0" w:line="324" w:lineRule="atLeast"/>
            </w:pPr>
            <w:r>
              <w:t>2K/4K/8K</w:t>
            </w:r>
          </w:p>
        </w:tc>
      </w:tr>
      <w:tr w14:paraId="28483A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3A5F70B0">
            <w:pPr>
              <w:jc w:val="left"/>
              <w:rPr>
                <w:rFonts w:ascii="宋体"/>
                <w:sz w:val="24"/>
                <w:szCs w:val="24"/>
              </w:rPr>
            </w:pPr>
          </w:p>
        </w:tc>
        <w:tc>
          <w:tcPr>
            <w:tcW w:w="2130" w:type="dxa"/>
            <w:shd w:val="clear" w:color="auto" w:fill="auto"/>
            <w:vAlign w:val="center"/>
          </w:tcPr>
          <w:p w14:paraId="629BF512">
            <w:pPr>
              <w:pStyle w:val="6"/>
              <w:widowControl/>
              <w:spacing w:beforeAutospacing="0" w:afterAutospacing="0" w:line="324" w:lineRule="atLeast"/>
            </w:pPr>
            <w:r>
              <w:t>FEC</w:t>
            </w:r>
          </w:p>
        </w:tc>
        <w:tc>
          <w:tcPr>
            <w:tcW w:w="5955" w:type="dxa"/>
            <w:shd w:val="clear" w:color="auto" w:fill="auto"/>
            <w:vAlign w:val="center"/>
          </w:tcPr>
          <w:p w14:paraId="6AD531C6">
            <w:pPr>
              <w:pStyle w:val="6"/>
              <w:widowControl/>
              <w:spacing w:beforeAutospacing="0" w:afterAutospacing="0" w:line="324" w:lineRule="atLeast"/>
            </w:pPr>
            <w:r>
              <w:t>1/2, 2/3, 3/4, 5/6, 7/8</w:t>
            </w:r>
          </w:p>
        </w:tc>
      </w:tr>
      <w:tr w14:paraId="23C217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restart"/>
            <w:shd w:val="clear" w:color="auto" w:fill="auto"/>
            <w:vAlign w:val="center"/>
          </w:tcPr>
          <w:p w14:paraId="4788D238">
            <w:pPr>
              <w:pStyle w:val="6"/>
              <w:widowControl/>
              <w:spacing w:beforeAutospacing="0" w:afterAutospacing="0" w:line="324" w:lineRule="atLeast"/>
            </w:pPr>
            <w:r>
              <w:rPr>
                <w:rStyle w:val="10"/>
              </w:rPr>
              <w:t>RF Output</w:t>
            </w:r>
          </w:p>
        </w:tc>
        <w:tc>
          <w:tcPr>
            <w:tcW w:w="2130" w:type="dxa"/>
            <w:shd w:val="clear" w:color="auto" w:fill="auto"/>
            <w:vAlign w:val="center"/>
          </w:tcPr>
          <w:p w14:paraId="5ED72A29">
            <w:pPr>
              <w:pStyle w:val="6"/>
              <w:widowControl/>
              <w:spacing w:beforeAutospacing="0" w:afterAutospacing="0" w:line="324" w:lineRule="atLeast"/>
            </w:pPr>
            <w:r>
              <w:t>Interface</w:t>
            </w:r>
          </w:p>
        </w:tc>
        <w:tc>
          <w:tcPr>
            <w:tcW w:w="5955" w:type="dxa"/>
            <w:shd w:val="clear" w:color="auto" w:fill="auto"/>
            <w:vAlign w:val="center"/>
          </w:tcPr>
          <w:p w14:paraId="00ED940A">
            <w:pPr>
              <w:pStyle w:val="6"/>
              <w:widowControl/>
              <w:spacing w:beforeAutospacing="0" w:afterAutospacing="0" w:line="324" w:lineRule="atLeast"/>
            </w:pPr>
            <w:r>
              <w:t>F typed output port for 8 (or 16) non-adjacent carriers</w:t>
            </w:r>
          </w:p>
        </w:tc>
      </w:tr>
      <w:tr w14:paraId="62044D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0A5BCEEB">
            <w:pPr>
              <w:jc w:val="left"/>
              <w:rPr>
                <w:rFonts w:ascii="宋体"/>
                <w:sz w:val="24"/>
                <w:szCs w:val="24"/>
              </w:rPr>
            </w:pPr>
          </w:p>
        </w:tc>
        <w:tc>
          <w:tcPr>
            <w:tcW w:w="2130" w:type="dxa"/>
            <w:shd w:val="clear" w:color="auto" w:fill="auto"/>
            <w:vAlign w:val="center"/>
          </w:tcPr>
          <w:p w14:paraId="7C1F4877">
            <w:pPr>
              <w:pStyle w:val="6"/>
              <w:widowControl/>
              <w:spacing w:beforeAutospacing="0" w:afterAutospacing="0" w:line="324" w:lineRule="atLeast"/>
            </w:pPr>
            <w:r>
              <w:t>RF Range</w:t>
            </w:r>
          </w:p>
        </w:tc>
        <w:tc>
          <w:tcPr>
            <w:tcW w:w="5955" w:type="dxa"/>
            <w:shd w:val="clear" w:color="auto" w:fill="auto"/>
            <w:vAlign w:val="center"/>
          </w:tcPr>
          <w:p w14:paraId="02096FCA">
            <w:pPr>
              <w:pStyle w:val="6"/>
              <w:widowControl/>
              <w:spacing w:beforeAutospacing="0" w:afterAutospacing="0" w:line="324" w:lineRule="atLeast"/>
            </w:pPr>
            <w:r>
              <w:t>50~960MHz, 1kHz stepping</w:t>
            </w:r>
          </w:p>
        </w:tc>
      </w:tr>
      <w:tr w14:paraId="2FFD07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0B37DE48">
            <w:pPr>
              <w:jc w:val="left"/>
              <w:rPr>
                <w:rFonts w:ascii="宋体"/>
                <w:sz w:val="24"/>
                <w:szCs w:val="24"/>
              </w:rPr>
            </w:pPr>
          </w:p>
        </w:tc>
        <w:tc>
          <w:tcPr>
            <w:tcW w:w="2130" w:type="dxa"/>
            <w:shd w:val="clear" w:color="auto" w:fill="auto"/>
            <w:vAlign w:val="center"/>
          </w:tcPr>
          <w:p w14:paraId="5FC49620">
            <w:pPr>
              <w:pStyle w:val="6"/>
              <w:widowControl/>
              <w:spacing w:beforeAutospacing="0" w:afterAutospacing="0" w:line="324" w:lineRule="atLeast"/>
            </w:pPr>
            <w:r>
              <w:t>Output Level</w:t>
            </w:r>
          </w:p>
        </w:tc>
        <w:tc>
          <w:tcPr>
            <w:tcW w:w="5955" w:type="dxa"/>
            <w:shd w:val="clear" w:color="auto" w:fill="auto"/>
            <w:vAlign w:val="center"/>
          </w:tcPr>
          <w:p w14:paraId="5DAD905D">
            <w:pPr>
              <w:pStyle w:val="6"/>
              <w:widowControl/>
              <w:spacing w:beforeAutospacing="0" w:afterAutospacing="0" w:line="324" w:lineRule="atLeast"/>
            </w:pPr>
            <w:r>
              <w:t>-20~+10dbm (for all carriers), 0.5db stepping</w:t>
            </w:r>
          </w:p>
        </w:tc>
      </w:tr>
      <w:tr w14:paraId="544CB6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95" w:type="dxa"/>
            <w:vMerge w:val="continue"/>
            <w:shd w:val="clear" w:color="auto" w:fill="auto"/>
            <w:vAlign w:val="center"/>
          </w:tcPr>
          <w:p w14:paraId="57F4C07D">
            <w:pPr>
              <w:jc w:val="left"/>
              <w:rPr>
                <w:rFonts w:ascii="宋体"/>
                <w:sz w:val="24"/>
                <w:szCs w:val="24"/>
              </w:rPr>
            </w:pPr>
          </w:p>
        </w:tc>
        <w:tc>
          <w:tcPr>
            <w:tcW w:w="2130" w:type="dxa"/>
            <w:shd w:val="clear" w:color="auto" w:fill="auto"/>
            <w:vAlign w:val="center"/>
          </w:tcPr>
          <w:p w14:paraId="23E3F19B">
            <w:pPr>
              <w:pStyle w:val="6"/>
              <w:widowControl/>
              <w:spacing w:beforeAutospacing="0" w:afterAutospacing="0" w:line="324" w:lineRule="atLeast"/>
            </w:pPr>
            <w:r>
              <w:t>MER</w:t>
            </w:r>
          </w:p>
        </w:tc>
        <w:tc>
          <w:tcPr>
            <w:tcW w:w="5955" w:type="dxa"/>
            <w:shd w:val="clear" w:color="auto" w:fill="auto"/>
            <w:vAlign w:val="center"/>
          </w:tcPr>
          <w:p w14:paraId="1887123D">
            <w:pPr>
              <w:pStyle w:val="6"/>
              <w:widowControl/>
              <w:spacing w:beforeAutospacing="0" w:afterAutospacing="0" w:line="324" w:lineRule="atLeast"/>
            </w:pPr>
            <w:r>
              <w:t>≥ 40dB</w:t>
            </w:r>
          </w:p>
        </w:tc>
      </w:tr>
      <w:tr w14:paraId="782633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continue"/>
            <w:shd w:val="clear" w:color="auto" w:fill="auto"/>
            <w:vAlign w:val="center"/>
          </w:tcPr>
          <w:p w14:paraId="3B7B44DD">
            <w:pPr>
              <w:jc w:val="left"/>
              <w:rPr>
                <w:rFonts w:ascii="宋体"/>
                <w:sz w:val="24"/>
                <w:szCs w:val="24"/>
              </w:rPr>
            </w:pPr>
          </w:p>
        </w:tc>
        <w:tc>
          <w:tcPr>
            <w:tcW w:w="2130" w:type="dxa"/>
            <w:shd w:val="clear" w:color="auto" w:fill="auto"/>
            <w:vAlign w:val="center"/>
          </w:tcPr>
          <w:p w14:paraId="5C0470B5">
            <w:pPr>
              <w:pStyle w:val="6"/>
              <w:widowControl/>
              <w:spacing w:beforeAutospacing="0" w:afterAutospacing="0" w:line="324" w:lineRule="atLeast"/>
            </w:pPr>
            <w:r>
              <w:t>ACL</w:t>
            </w:r>
          </w:p>
        </w:tc>
        <w:tc>
          <w:tcPr>
            <w:tcW w:w="5955" w:type="dxa"/>
            <w:shd w:val="clear" w:color="auto" w:fill="auto"/>
            <w:vAlign w:val="center"/>
          </w:tcPr>
          <w:p w14:paraId="188D127C">
            <w:pPr>
              <w:pStyle w:val="6"/>
              <w:widowControl/>
              <w:spacing w:beforeAutospacing="0" w:afterAutospacing="0" w:line="324" w:lineRule="atLeast"/>
            </w:pPr>
            <w:r>
              <w:t>-55 dBc</w:t>
            </w:r>
          </w:p>
        </w:tc>
      </w:tr>
      <w:tr w14:paraId="0928A3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shd w:val="clear" w:color="auto" w:fill="auto"/>
            <w:vAlign w:val="center"/>
          </w:tcPr>
          <w:p w14:paraId="5ACDBED9">
            <w:pPr>
              <w:pStyle w:val="6"/>
              <w:widowControl/>
              <w:spacing w:beforeAutospacing="0" w:afterAutospacing="0" w:line="324" w:lineRule="atLeast"/>
            </w:pPr>
            <w:r>
              <w:rPr>
                <w:rStyle w:val="10"/>
              </w:rPr>
              <w:t>TS output</w:t>
            </w:r>
          </w:p>
        </w:tc>
        <w:tc>
          <w:tcPr>
            <w:tcW w:w="8085" w:type="dxa"/>
            <w:gridSpan w:val="2"/>
            <w:shd w:val="clear" w:color="auto" w:fill="auto"/>
            <w:vAlign w:val="center"/>
          </w:tcPr>
          <w:p w14:paraId="52474B05">
            <w:pPr>
              <w:pStyle w:val="6"/>
              <w:widowControl/>
              <w:spacing w:beforeAutospacing="0" w:afterAutospacing="0" w:line="324" w:lineRule="atLeast"/>
            </w:pPr>
            <w:r>
              <w:t>8 (or 16, or 24) IP output over UDP/RTP/RTSP, unicast/multicast, 2 100/1000M Ethernet Ports</w:t>
            </w:r>
          </w:p>
        </w:tc>
      </w:tr>
      <w:tr w14:paraId="0E4630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shd w:val="clear" w:color="auto" w:fill="auto"/>
            <w:vAlign w:val="center"/>
          </w:tcPr>
          <w:p w14:paraId="4C735107">
            <w:pPr>
              <w:pStyle w:val="6"/>
              <w:widowControl/>
              <w:spacing w:beforeAutospacing="0" w:afterAutospacing="0" w:line="324" w:lineRule="atLeast"/>
            </w:pPr>
            <w:r>
              <w:rPr>
                <w:rStyle w:val="10"/>
              </w:rPr>
              <w:t>System</w:t>
            </w:r>
          </w:p>
        </w:tc>
        <w:tc>
          <w:tcPr>
            <w:tcW w:w="8085" w:type="dxa"/>
            <w:gridSpan w:val="2"/>
            <w:shd w:val="clear" w:color="auto" w:fill="auto"/>
            <w:vAlign w:val="center"/>
          </w:tcPr>
          <w:p w14:paraId="25EDDF16">
            <w:pPr>
              <w:pStyle w:val="6"/>
              <w:widowControl/>
              <w:spacing w:beforeAutospacing="0" w:afterAutospacing="0" w:line="324" w:lineRule="atLeast"/>
            </w:pPr>
            <w:r>
              <w:t>Web-based Network management</w:t>
            </w:r>
          </w:p>
        </w:tc>
      </w:tr>
      <w:tr w14:paraId="35913B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restart"/>
            <w:shd w:val="clear" w:color="auto" w:fill="auto"/>
            <w:vAlign w:val="center"/>
          </w:tcPr>
          <w:p w14:paraId="43958E16">
            <w:pPr>
              <w:pStyle w:val="6"/>
              <w:widowControl/>
              <w:spacing w:beforeAutospacing="0" w:afterAutospacing="0" w:line="324" w:lineRule="atLeast"/>
            </w:pPr>
            <w:r>
              <w:rPr>
                <w:rStyle w:val="10"/>
              </w:rPr>
              <w:t>General</w:t>
            </w:r>
          </w:p>
        </w:tc>
        <w:tc>
          <w:tcPr>
            <w:tcW w:w="2130" w:type="dxa"/>
            <w:shd w:val="clear" w:color="auto" w:fill="auto"/>
            <w:vAlign w:val="center"/>
          </w:tcPr>
          <w:p w14:paraId="1E114EE1">
            <w:pPr>
              <w:pStyle w:val="6"/>
              <w:widowControl/>
              <w:spacing w:beforeAutospacing="0" w:afterAutospacing="0" w:line="324" w:lineRule="atLeast"/>
            </w:pPr>
            <w:r>
              <w:t>Demission</w:t>
            </w:r>
          </w:p>
        </w:tc>
        <w:tc>
          <w:tcPr>
            <w:tcW w:w="5955" w:type="dxa"/>
            <w:shd w:val="clear" w:color="auto" w:fill="auto"/>
            <w:vAlign w:val="center"/>
          </w:tcPr>
          <w:p w14:paraId="5F04A256">
            <w:pPr>
              <w:pStyle w:val="6"/>
              <w:widowControl/>
              <w:spacing w:beforeAutospacing="0" w:afterAutospacing="0" w:line="324" w:lineRule="atLeast"/>
              <w:ind w:left="105"/>
            </w:pPr>
            <w:r>
              <w:t>420mm×440mm×44.5mm (WxLxH)</w:t>
            </w:r>
          </w:p>
        </w:tc>
      </w:tr>
      <w:tr w14:paraId="6DD4E1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continue"/>
            <w:shd w:val="clear" w:color="auto" w:fill="auto"/>
            <w:vAlign w:val="center"/>
          </w:tcPr>
          <w:p w14:paraId="4ABA2DB5">
            <w:pPr>
              <w:jc w:val="left"/>
              <w:rPr>
                <w:rFonts w:ascii="宋体"/>
                <w:sz w:val="24"/>
                <w:szCs w:val="24"/>
              </w:rPr>
            </w:pPr>
          </w:p>
        </w:tc>
        <w:tc>
          <w:tcPr>
            <w:tcW w:w="2130" w:type="dxa"/>
            <w:shd w:val="clear" w:color="auto" w:fill="auto"/>
            <w:vAlign w:val="center"/>
          </w:tcPr>
          <w:p w14:paraId="6A2B7523">
            <w:pPr>
              <w:pStyle w:val="6"/>
              <w:widowControl/>
              <w:spacing w:beforeAutospacing="0" w:afterAutospacing="0" w:line="324" w:lineRule="atLeast"/>
            </w:pPr>
            <w:r>
              <w:t>Temperature</w:t>
            </w:r>
          </w:p>
        </w:tc>
        <w:tc>
          <w:tcPr>
            <w:tcW w:w="5955" w:type="dxa"/>
            <w:shd w:val="clear" w:color="auto" w:fill="auto"/>
            <w:vAlign w:val="center"/>
          </w:tcPr>
          <w:p w14:paraId="73A62A12">
            <w:pPr>
              <w:pStyle w:val="6"/>
              <w:widowControl/>
              <w:spacing w:beforeAutospacing="0" w:afterAutospacing="0" w:line="324" w:lineRule="atLeast"/>
              <w:ind w:left="105"/>
            </w:pPr>
            <w:r>
              <w:t>0~45℃(operation), -20~80℃(storage)</w:t>
            </w:r>
          </w:p>
        </w:tc>
      </w:tr>
      <w:tr w14:paraId="517A25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continue"/>
            <w:shd w:val="clear" w:color="auto" w:fill="auto"/>
            <w:vAlign w:val="center"/>
          </w:tcPr>
          <w:p w14:paraId="2B15E615">
            <w:pPr>
              <w:jc w:val="left"/>
              <w:rPr>
                <w:rFonts w:ascii="宋体"/>
                <w:sz w:val="24"/>
                <w:szCs w:val="24"/>
              </w:rPr>
            </w:pPr>
          </w:p>
        </w:tc>
        <w:tc>
          <w:tcPr>
            <w:tcW w:w="2130" w:type="dxa"/>
            <w:shd w:val="clear" w:color="auto" w:fill="auto"/>
            <w:vAlign w:val="center"/>
          </w:tcPr>
          <w:p w14:paraId="36738C2C">
            <w:pPr>
              <w:pStyle w:val="6"/>
              <w:widowControl/>
              <w:spacing w:beforeAutospacing="0" w:afterAutospacing="0" w:line="324" w:lineRule="atLeast"/>
            </w:pPr>
            <w:r>
              <w:t>Power Supply</w:t>
            </w:r>
          </w:p>
        </w:tc>
        <w:tc>
          <w:tcPr>
            <w:tcW w:w="5955" w:type="dxa"/>
            <w:shd w:val="clear" w:color="auto" w:fill="auto"/>
            <w:vAlign w:val="center"/>
          </w:tcPr>
          <w:p w14:paraId="71BB1980">
            <w:pPr>
              <w:pStyle w:val="6"/>
              <w:widowControl/>
              <w:spacing w:beforeAutospacing="0" w:afterAutospacing="0" w:line="324" w:lineRule="atLeast"/>
              <w:ind w:left="105"/>
            </w:pPr>
            <w:r>
              <w:t>AC 100V±10%, 50/60Hz or AC 220V±10%, 50/60Hz</w:t>
            </w:r>
          </w:p>
        </w:tc>
      </w:tr>
    </w:tbl>
    <w:p w14:paraId="7AAE751B">
      <w:pPr>
        <w:pStyle w:val="6"/>
        <w:widowControl/>
        <w:spacing w:beforeAutospacing="0" w:afterAutospacing="0" w:line="324" w:lineRule="atLeast"/>
      </w:pPr>
      <w:r>
        <w:rPr>
          <w:rFonts w:ascii="Verdana" w:hAnsi="Verdana" w:cs="Verdana"/>
          <w:color w:val="333333"/>
          <w:sz w:val="18"/>
          <w:szCs w:val="18"/>
          <w:shd w:val="clear" w:color="auto" w:fill="FEFCFD"/>
        </w:rPr>
        <w:t> </w:t>
      </w:r>
    </w:p>
    <w:p w14:paraId="1444250B">
      <w:pPr>
        <w:pStyle w:val="6"/>
        <w:widowControl/>
        <w:spacing w:beforeAutospacing="0" w:afterAutospacing="0" w:line="324" w:lineRule="atLeast"/>
      </w:pPr>
      <w:r>
        <w:rPr>
          <w:rStyle w:val="10"/>
          <w:rFonts w:ascii="Verdana" w:hAnsi="Verdana" w:cs="Verdana"/>
          <w:color w:val="333333"/>
          <w:sz w:val="18"/>
          <w:szCs w:val="18"/>
          <w:shd w:val="clear" w:color="auto" w:fill="FEFCFD"/>
        </w:rPr>
        <w:t>Order Guide:</w:t>
      </w:r>
    </w:p>
    <w:p w14:paraId="45494565">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6072"/>
        <w:gridCol w:w="1150"/>
        <w:gridCol w:w="1226"/>
        <w:gridCol w:w="1302"/>
      </w:tblGrid>
      <w:tr w14:paraId="24C2BB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CFA6B9F">
            <w:pPr>
              <w:pStyle w:val="6"/>
              <w:widowControl/>
              <w:spacing w:beforeAutospacing="0" w:afterAutospacing="0" w:line="324" w:lineRule="atLeast"/>
            </w:pPr>
            <w:r>
              <w:t> </w:t>
            </w:r>
          </w:p>
        </w:tc>
        <w:tc>
          <w:tcPr>
            <w:tcW w:w="0" w:type="auto"/>
            <w:shd w:val="clear" w:color="auto" w:fill="auto"/>
            <w:vAlign w:val="center"/>
          </w:tcPr>
          <w:p w14:paraId="66490C7A">
            <w:pPr>
              <w:pStyle w:val="6"/>
              <w:widowControl/>
              <w:spacing w:beforeAutospacing="0" w:afterAutospacing="0" w:line="324" w:lineRule="atLeast"/>
            </w:pPr>
            <w:r>
              <w:t>Version I</w:t>
            </w:r>
          </w:p>
        </w:tc>
        <w:tc>
          <w:tcPr>
            <w:tcW w:w="0" w:type="auto"/>
            <w:shd w:val="clear" w:color="auto" w:fill="auto"/>
            <w:vAlign w:val="center"/>
          </w:tcPr>
          <w:p w14:paraId="6568E435">
            <w:pPr>
              <w:pStyle w:val="6"/>
              <w:widowControl/>
              <w:spacing w:beforeAutospacing="0" w:afterAutospacing="0" w:line="324" w:lineRule="atLeast"/>
            </w:pPr>
            <w:r>
              <w:t>Version II</w:t>
            </w:r>
          </w:p>
        </w:tc>
        <w:tc>
          <w:tcPr>
            <w:tcW w:w="0" w:type="auto"/>
            <w:shd w:val="clear" w:color="auto" w:fill="auto"/>
            <w:vAlign w:val="center"/>
          </w:tcPr>
          <w:p w14:paraId="53712F9A">
            <w:pPr>
              <w:pStyle w:val="6"/>
              <w:widowControl/>
              <w:spacing w:beforeAutospacing="0" w:afterAutospacing="0" w:line="324" w:lineRule="atLeast"/>
            </w:pPr>
            <w:r>
              <w:t>Version III</w:t>
            </w:r>
          </w:p>
        </w:tc>
      </w:tr>
      <w:tr w14:paraId="0D365A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8958BFB">
            <w:pPr>
              <w:pStyle w:val="6"/>
              <w:widowControl/>
              <w:spacing w:beforeAutospacing="0" w:afterAutospacing="0" w:line="324" w:lineRule="atLeast"/>
            </w:pPr>
            <w:r>
              <w:t>256 IP input to 8ch DVB-T carriers out, 8 IP out</w:t>
            </w:r>
          </w:p>
        </w:tc>
        <w:tc>
          <w:tcPr>
            <w:tcW w:w="0" w:type="auto"/>
            <w:shd w:val="clear" w:color="auto" w:fill="auto"/>
            <w:vAlign w:val="center"/>
          </w:tcPr>
          <w:p w14:paraId="6A1CAEAE">
            <w:pPr>
              <w:pStyle w:val="6"/>
              <w:widowControl/>
              <w:spacing w:beforeAutospacing="0" w:afterAutospacing="0" w:line="324" w:lineRule="atLeast"/>
            </w:pPr>
            <w:r>
              <w:t>x</w:t>
            </w:r>
          </w:p>
        </w:tc>
        <w:tc>
          <w:tcPr>
            <w:tcW w:w="0" w:type="auto"/>
            <w:shd w:val="clear" w:color="auto" w:fill="auto"/>
            <w:vAlign w:val="center"/>
          </w:tcPr>
          <w:p w14:paraId="2E662497">
            <w:pPr>
              <w:pStyle w:val="6"/>
              <w:widowControl/>
              <w:spacing w:beforeAutospacing="0" w:afterAutospacing="0" w:line="324" w:lineRule="atLeast"/>
            </w:pPr>
            <w:r>
              <w:t> </w:t>
            </w:r>
          </w:p>
        </w:tc>
        <w:tc>
          <w:tcPr>
            <w:tcW w:w="0" w:type="auto"/>
            <w:shd w:val="clear" w:color="auto" w:fill="auto"/>
            <w:vAlign w:val="center"/>
          </w:tcPr>
          <w:p w14:paraId="03E7844F">
            <w:pPr>
              <w:pStyle w:val="6"/>
              <w:widowControl/>
              <w:spacing w:beforeAutospacing="0" w:afterAutospacing="0" w:line="324" w:lineRule="atLeast"/>
            </w:pPr>
            <w:r>
              <w:t> </w:t>
            </w:r>
          </w:p>
        </w:tc>
      </w:tr>
      <w:tr w14:paraId="3EB1D7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14" w:hRule="atLeast"/>
          <w:tblCellSpacing w:w="0" w:type="dxa"/>
        </w:trPr>
        <w:tc>
          <w:tcPr>
            <w:tcW w:w="0" w:type="auto"/>
            <w:shd w:val="clear" w:color="auto" w:fill="auto"/>
            <w:vAlign w:val="center"/>
          </w:tcPr>
          <w:p w14:paraId="1170B540">
            <w:pPr>
              <w:pStyle w:val="6"/>
              <w:widowControl/>
              <w:spacing w:beforeAutospacing="0" w:afterAutospacing="0" w:line="324" w:lineRule="atLeast"/>
            </w:pPr>
            <w:r>
              <w:t>512 IP input to 16ch DVB-T carriers out, 16 IP out</w:t>
            </w:r>
          </w:p>
        </w:tc>
        <w:tc>
          <w:tcPr>
            <w:tcW w:w="0" w:type="auto"/>
            <w:shd w:val="clear" w:color="auto" w:fill="auto"/>
            <w:vAlign w:val="center"/>
          </w:tcPr>
          <w:p w14:paraId="0AD52F6E">
            <w:pPr>
              <w:pStyle w:val="6"/>
              <w:widowControl/>
              <w:spacing w:beforeAutospacing="0" w:afterAutospacing="0" w:line="324" w:lineRule="atLeast"/>
            </w:pPr>
            <w:r>
              <w:t> </w:t>
            </w:r>
          </w:p>
        </w:tc>
        <w:tc>
          <w:tcPr>
            <w:tcW w:w="0" w:type="auto"/>
            <w:shd w:val="clear" w:color="auto" w:fill="auto"/>
            <w:vAlign w:val="center"/>
          </w:tcPr>
          <w:p w14:paraId="31829125">
            <w:pPr>
              <w:pStyle w:val="6"/>
              <w:widowControl/>
              <w:spacing w:beforeAutospacing="0" w:afterAutospacing="0" w:line="324" w:lineRule="atLeast"/>
            </w:pPr>
            <w:r>
              <w:t>x</w:t>
            </w:r>
          </w:p>
        </w:tc>
        <w:tc>
          <w:tcPr>
            <w:tcW w:w="0" w:type="auto"/>
            <w:shd w:val="clear" w:color="auto" w:fill="auto"/>
            <w:vAlign w:val="center"/>
          </w:tcPr>
          <w:p w14:paraId="3215E72D">
            <w:pPr>
              <w:pStyle w:val="6"/>
              <w:widowControl/>
              <w:spacing w:beforeAutospacing="0" w:afterAutospacing="0" w:line="324" w:lineRule="atLeast"/>
            </w:pPr>
            <w:r>
              <w:t> </w:t>
            </w:r>
          </w:p>
        </w:tc>
      </w:tr>
      <w:tr w14:paraId="12C5F1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E68B551">
            <w:pPr>
              <w:pStyle w:val="6"/>
              <w:widowControl/>
              <w:spacing w:beforeAutospacing="0" w:afterAutospacing="0" w:line="324" w:lineRule="atLeast"/>
            </w:pPr>
            <w:r>
              <w:t>768 IP input to 24ch DVB-T carriers out, 24 IP out</w:t>
            </w:r>
          </w:p>
        </w:tc>
        <w:tc>
          <w:tcPr>
            <w:tcW w:w="0" w:type="auto"/>
            <w:shd w:val="clear" w:color="auto" w:fill="auto"/>
            <w:vAlign w:val="center"/>
          </w:tcPr>
          <w:p w14:paraId="0F5087A9">
            <w:pPr>
              <w:pStyle w:val="6"/>
              <w:widowControl/>
              <w:spacing w:beforeAutospacing="0" w:afterAutospacing="0" w:line="324" w:lineRule="atLeast"/>
            </w:pPr>
            <w:r>
              <w:t> </w:t>
            </w:r>
          </w:p>
        </w:tc>
        <w:tc>
          <w:tcPr>
            <w:tcW w:w="0" w:type="auto"/>
            <w:shd w:val="clear" w:color="auto" w:fill="auto"/>
            <w:vAlign w:val="center"/>
          </w:tcPr>
          <w:p w14:paraId="30C7E32F">
            <w:pPr>
              <w:pStyle w:val="6"/>
              <w:widowControl/>
              <w:spacing w:beforeAutospacing="0" w:afterAutospacing="0" w:line="324" w:lineRule="atLeast"/>
            </w:pPr>
            <w:r>
              <w:t> </w:t>
            </w:r>
          </w:p>
        </w:tc>
        <w:tc>
          <w:tcPr>
            <w:tcW w:w="0" w:type="auto"/>
            <w:shd w:val="clear" w:color="auto" w:fill="auto"/>
            <w:vAlign w:val="center"/>
          </w:tcPr>
          <w:p w14:paraId="789C905E">
            <w:pPr>
              <w:pStyle w:val="6"/>
              <w:widowControl/>
              <w:spacing w:beforeAutospacing="0" w:afterAutospacing="0" w:line="324" w:lineRule="atLeast"/>
            </w:pPr>
            <w:r>
              <w:t>x</w:t>
            </w:r>
          </w:p>
        </w:tc>
      </w:tr>
    </w:tbl>
    <w:p w14:paraId="4DF0FF22">
      <w:pPr>
        <w:pStyle w:val="6"/>
        <w:widowControl/>
        <w:spacing w:beforeAutospacing="0" w:afterAutospacing="0" w:line="324" w:lineRule="atLeast"/>
      </w:pPr>
      <w:r>
        <w:rPr>
          <w:rFonts w:ascii="Verdana" w:hAnsi="Verdana" w:cs="Verdana"/>
          <w:color w:val="333333"/>
          <w:sz w:val="18"/>
          <w:szCs w:val="18"/>
          <w:shd w:val="clear" w:color="auto" w:fill="FEFCFD"/>
        </w:rPr>
        <w:t> </w:t>
      </w:r>
    </w:p>
    <w:p w14:paraId="5EF6A5DE">
      <w:pPr>
        <w:pStyle w:val="6"/>
        <w:widowControl/>
        <w:spacing w:beforeAutospacing="0" w:afterAutospacing="0" w:line="324" w:lineRule="atLeast"/>
      </w:pPr>
      <w:r>
        <w:rPr>
          <w:rFonts w:ascii="Verdana" w:hAnsi="Verdana" w:cs="Verdana"/>
          <w:color w:val="333333"/>
          <w:sz w:val="18"/>
          <w:szCs w:val="18"/>
          <w:shd w:val="clear" w:color="auto" w:fill="FEFCFD"/>
        </w:rPr>
        <w:t> </w:t>
      </w:r>
    </w:p>
    <w:p w14:paraId="0CCF7714">
      <w:pPr>
        <w:widowControl/>
        <w:shd w:val="clear" w:color="auto" w:fill="F2F2F4"/>
        <w:jc w:val="left"/>
        <w:rPr>
          <w:rFonts w:ascii="Verdana" w:hAnsi="Verdana" w:cs="Verdana"/>
          <w:color w:val="333333"/>
          <w:sz w:val="18"/>
          <w:szCs w:val="18"/>
        </w:rPr>
      </w:pPr>
    </w:p>
    <w:p w14:paraId="7C0EE165">
      <w:pPr>
        <w:rPr>
          <w:rFonts w:ascii="Verdana" w:hAnsi="Verdana" w:cs="Verdana"/>
          <w:color w:val="000000"/>
          <w:sz w:val="28"/>
        </w:rPr>
      </w:pPr>
    </w:p>
    <w:p w14:paraId="0E4DACA5">
      <w:pPr>
        <w:rPr>
          <w:rFonts w:ascii="Verdana" w:hAnsi="Verdana" w:cs="Verdana"/>
          <w:b/>
          <w:color w:val="000000"/>
          <w:sz w:val="22"/>
        </w:rPr>
      </w:pPr>
      <w:r>
        <w:rPr>
          <w:rFonts w:hint="eastAsia" w:ascii="Verdana" w:hAnsi="Verdana" w:cs="Verdana"/>
          <w:b/>
          <w:color w:val="000000"/>
          <w:sz w:val="22"/>
        </w:rPr>
        <w:t>About Us</w:t>
      </w:r>
    </w:p>
    <w:p w14:paraId="51E215E8">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2A93B79">
      <w:pPr>
        <w:rPr>
          <w:rFonts w:ascii="Verdana" w:hAnsi="Verdana" w:cs="Verdana"/>
          <w:color w:val="000000"/>
          <w:sz w:val="18"/>
        </w:rPr>
      </w:pPr>
    </w:p>
    <w:p w14:paraId="17D3C2BB">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8A8E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E91B7B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3C9BE">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84026"/>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8387E"/>
    <w:rsid w:val="00BD4043"/>
    <w:rsid w:val="00C44FAF"/>
    <w:rsid w:val="00D24477"/>
    <w:rsid w:val="00F268A0"/>
    <w:rsid w:val="00F714FF"/>
    <w:rsid w:val="00F7593F"/>
    <w:rsid w:val="00FC60FC"/>
    <w:rsid w:val="033D434A"/>
    <w:rsid w:val="06096A7E"/>
    <w:rsid w:val="0A680B1B"/>
    <w:rsid w:val="0AC405B6"/>
    <w:rsid w:val="0D10063F"/>
    <w:rsid w:val="0E714EC9"/>
    <w:rsid w:val="0FC87CEA"/>
    <w:rsid w:val="101C4557"/>
    <w:rsid w:val="15C25510"/>
    <w:rsid w:val="18AE427D"/>
    <w:rsid w:val="18E81EA3"/>
    <w:rsid w:val="1B974A15"/>
    <w:rsid w:val="1CDC4CA0"/>
    <w:rsid w:val="1DED76E9"/>
    <w:rsid w:val="1FCC39C5"/>
    <w:rsid w:val="20F61905"/>
    <w:rsid w:val="2199682E"/>
    <w:rsid w:val="239E3C7B"/>
    <w:rsid w:val="27B55639"/>
    <w:rsid w:val="29D959B3"/>
    <w:rsid w:val="2A752F8B"/>
    <w:rsid w:val="2C665CEA"/>
    <w:rsid w:val="2E0F6BE8"/>
    <w:rsid w:val="2F8128DA"/>
    <w:rsid w:val="314F3E41"/>
    <w:rsid w:val="34DE6869"/>
    <w:rsid w:val="3B533162"/>
    <w:rsid w:val="45872050"/>
    <w:rsid w:val="478E224E"/>
    <w:rsid w:val="485E04E5"/>
    <w:rsid w:val="487316FE"/>
    <w:rsid w:val="48D35BAF"/>
    <w:rsid w:val="49B75FAC"/>
    <w:rsid w:val="4A7453C8"/>
    <w:rsid w:val="4E4A4BF6"/>
    <w:rsid w:val="4F8D25ED"/>
    <w:rsid w:val="51AD130D"/>
    <w:rsid w:val="51B46E8E"/>
    <w:rsid w:val="540A3FAB"/>
    <w:rsid w:val="562E484B"/>
    <w:rsid w:val="56834992"/>
    <w:rsid w:val="5930748A"/>
    <w:rsid w:val="59933671"/>
    <w:rsid w:val="5AA83521"/>
    <w:rsid w:val="5EEA5249"/>
    <w:rsid w:val="609213A6"/>
    <w:rsid w:val="61BA6334"/>
    <w:rsid w:val="63C27F07"/>
    <w:rsid w:val="65713261"/>
    <w:rsid w:val="68AD6386"/>
    <w:rsid w:val="6D7A6503"/>
    <w:rsid w:val="70757613"/>
    <w:rsid w:val="70B756B4"/>
    <w:rsid w:val="7249368D"/>
    <w:rsid w:val="73270F88"/>
    <w:rsid w:val="74114400"/>
    <w:rsid w:val="74455F31"/>
    <w:rsid w:val="7540100C"/>
    <w:rsid w:val="77935A18"/>
    <w:rsid w:val="7B8E7427"/>
    <w:rsid w:val="7DA13C85"/>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NDS3308T/3EEECN_20231103153811.png" TargetMode="External"/><Relationship Id="rId8" Type="http://schemas.openxmlformats.org/officeDocument/2006/relationships/image" Target="media/image3.jpeg"/><Relationship Id="rId7" Type="http://schemas.openxmlformats.org/officeDocument/2006/relationships/hyperlink" Target="https://english.dsdvb.com/Upload/images/Product/Modulator/NDS3308T/3EEECN_20231103153804.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Modulator/NDS3308T/3EEECN_20220411075347.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402</Words>
  <Characters>2184</Characters>
  <Lines>24</Lines>
  <Paragraphs>6</Paragraphs>
  <TotalTime>0</TotalTime>
  <ScaleCrop>false</ScaleCrop>
  <LinksUpToDate>false</LinksUpToDate>
  <CharactersWithSpaces>2532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2026-08-11T07:08:28Z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