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06DD7">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FUQ-4443 V2 IP QAM Modulator 1024 IP + 6 ASI Inputs 16-32 DVB-C Outputs IP-ASI-RF Interfaces ITU-T J.83 A-B Multiplexing Scrambling for Cable Headends Hotel IPTV</w:t>
      </w:r>
      <w:bookmarkStart w:id="1" w:name="_GoBack"/>
      <w:bookmarkEnd w:id="1"/>
    </w:p>
    <w:p w14:paraId="7D6D96F8">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72200" cy="3390900"/>
            <wp:effectExtent l="0" t="0" r="0" b="0"/>
            <wp:docPr id="1" name="图片 1" descr="NDS3332%20V2-LCD%20ASI"/>
            <wp:cNvGraphicFramePr/>
            <a:graphic xmlns:a="http://schemas.openxmlformats.org/drawingml/2006/main">
              <a:graphicData uri="http://schemas.openxmlformats.org/drawingml/2006/picture">
                <pic:pic xmlns:pic="http://schemas.openxmlformats.org/drawingml/2006/picture">
                  <pic:nvPicPr>
                    <pic:cNvPr id="1" name="图片 1" descr="NDS3332%20V2-LCD%20ASI"/>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eastAsia="宋体" w:cs="Verdana"/>
          <w:color w:val="333333"/>
          <w:sz w:val="18"/>
          <w:szCs w:val="18"/>
          <w:shd w:val="clear" w:color="auto" w:fill="FEFCFD"/>
          <w:lang w:eastAsia="zh-CN"/>
        </w:rPr>
        <w:t>Product Overview</w:t>
      </w:r>
    </w:p>
    <w:p w14:paraId="169368D3">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FUQ-4443 (V2) is an IP QAM modulator with inputs via 4 GE/SFP ports for up to 1024 IP streams and 6 ASI inputs. It processes signals by modulating them into 16 or 32 non-adjacent DVB-C carriers. Featuring web-based network management, this device is ideal for cost-effective DTV broadcasting systems.</w:t>
      </w:r>
      <w:r>
        <w:rPr>
          <w:rFonts w:ascii="Verdana" w:hAnsi="Verdana" w:cs="Verdana"/>
          <w:color w:val="333333"/>
          <w:sz w:val="18"/>
          <w:szCs w:val="18"/>
          <w:shd w:val="clear" w:color="auto" w:fill="FEFCFD"/>
        </w:rPr>
        <w:t> </w:t>
      </w:r>
    </w:p>
    <w:p w14:paraId="27BB8B29">
      <w:pPr>
        <w:pStyle w:val="6"/>
        <w:widowControl/>
        <w:spacing w:beforeAutospacing="0" w:afterAutospacing="0" w:line="324" w:lineRule="atLeast"/>
        <w:rPr>
          <w:rStyle w:val="10"/>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3002505E">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Enables web-based network management for remote monitoring and control.</w:t>
      </w:r>
    </w:p>
    <w:p w14:paraId="574866B8">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6D3AD3A0">
      <w:pPr>
        <w:pStyle w:val="6"/>
        <w:widowControl/>
        <w:spacing w:beforeAutospacing="0" w:afterAutospacing="0" w:line="324" w:lineRule="atLeast"/>
      </w:pPr>
      <w:r>
        <w:rPr>
          <w:rFonts w:ascii="Verdana" w:hAnsi="Verdana" w:cs="Verdana"/>
          <w:color w:val="333333"/>
          <w:sz w:val="18"/>
          <w:szCs w:val="18"/>
          <w:shd w:val="clear" w:color="auto" w:fill="FEFCFD"/>
        </w:rPr>
        <w:t>For 16 carriers out:</w:t>
      </w:r>
    </w:p>
    <w:p w14:paraId="38881AA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3242945"/>
            <wp:effectExtent l="0" t="0" r="8890"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360" cy="3242945"/>
                    </a:xfrm>
                    <a:prstGeom prst="rect">
                      <a:avLst/>
                    </a:prstGeom>
                    <a:noFill/>
                    <a:ln w="9525">
                      <a:noFill/>
                    </a:ln>
                  </pic:spPr>
                </pic:pic>
              </a:graphicData>
            </a:graphic>
          </wp:inline>
        </w:drawing>
      </w:r>
    </w:p>
    <w:p w14:paraId="1F1AA56D">
      <w:pPr>
        <w:pStyle w:val="6"/>
        <w:widowControl/>
        <w:spacing w:beforeAutospacing="0" w:afterAutospacing="0" w:line="324" w:lineRule="atLeast"/>
      </w:pPr>
      <w:r>
        <w:rPr>
          <w:rFonts w:ascii="Verdana" w:hAnsi="Verdana" w:cs="Verdana"/>
          <w:color w:val="333333"/>
          <w:sz w:val="18"/>
          <w:szCs w:val="18"/>
          <w:shd w:val="clear" w:color="auto" w:fill="FEFCFD"/>
        </w:rPr>
        <w:t> </w:t>
      </w:r>
    </w:p>
    <w:p w14:paraId="311237CC">
      <w:pPr>
        <w:pStyle w:val="6"/>
        <w:widowControl/>
        <w:spacing w:beforeAutospacing="0" w:afterAutospacing="0" w:line="324" w:lineRule="atLeast"/>
      </w:pPr>
      <w:r>
        <w:rPr>
          <w:rFonts w:ascii="Verdana" w:hAnsi="Verdana" w:cs="Verdana"/>
          <w:color w:val="333333"/>
          <w:sz w:val="18"/>
          <w:szCs w:val="18"/>
          <w:shd w:val="clear" w:color="auto" w:fill="FEFCFD"/>
        </w:rPr>
        <w:t>For 32 carriers out:</w:t>
      </w:r>
    </w:p>
    <w:p w14:paraId="4E0F0F1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3201035"/>
            <wp:effectExtent l="0" t="0" r="8890" b="1841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2360" cy="3201035"/>
                    </a:xfrm>
                    <a:prstGeom prst="rect">
                      <a:avLst/>
                    </a:prstGeom>
                    <a:noFill/>
                    <a:ln w="9525">
                      <a:noFill/>
                    </a:ln>
                  </pic:spPr>
                </pic:pic>
              </a:graphicData>
            </a:graphic>
          </wp:inline>
        </w:drawing>
      </w:r>
    </w:p>
    <w:p w14:paraId="124C3CE5">
      <w:pPr>
        <w:pStyle w:val="6"/>
        <w:widowControl/>
        <w:spacing w:beforeAutospacing="0" w:afterAutospacing="0" w:line="324" w:lineRule="atLeast"/>
      </w:pPr>
      <w:r>
        <w:rPr>
          <w:rFonts w:ascii="Verdana" w:hAnsi="Verdana" w:cs="Verdana"/>
          <w:color w:val="333333"/>
          <w:sz w:val="18"/>
          <w:szCs w:val="18"/>
          <w:shd w:val="clear" w:color="auto" w:fill="FEFCFD"/>
        </w:rPr>
        <w:t> </w:t>
      </w:r>
    </w:p>
    <w:p w14:paraId="6A6C5522">
      <w:pPr>
        <w:pStyle w:val="6"/>
        <w:widowControl/>
        <w:spacing w:beforeAutospacing="0" w:afterAutospacing="0" w:line="324" w:lineRule="atLeast"/>
      </w:pPr>
      <w:r>
        <w:rPr>
          <w:rFonts w:ascii="Verdana" w:hAnsi="Verdana" w:cs="Verdana"/>
          <w:color w:val="333333"/>
          <w:sz w:val="18"/>
          <w:szCs w:val="18"/>
          <w:shd w:val="clear" w:color="auto" w:fill="FEFCFD"/>
        </w:rPr>
        <w:t>Carrier Setting Illustration:</w:t>
      </w:r>
    </w:p>
    <w:p w14:paraId="295DF9B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805" cy="2370455"/>
            <wp:effectExtent l="0" t="0" r="4445" b="1079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6805" cy="2370455"/>
                    </a:xfrm>
                    <a:prstGeom prst="rect">
                      <a:avLst/>
                    </a:prstGeom>
                    <a:noFill/>
                    <a:ln w="9525">
                      <a:noFill/>
                    </a:ln>
                  </pic:spPr>
                </pic:pic>
              </a:graphicData>
            </a:graphic>
          </wp:inline>
        </w:drawing>
      </w:r>
    </w:p>
    <w:p w14:paraId="2E04999F">
      <w:pPr>
        <w:pStyle w:val="6"/>
        <w:widowControl/>
        <w:spacing w:beforeAutospacing="0" w:afterAutospacing="0" w:line="324" w:lineRule="atLeast"/>
      </w:pPr>
      <w:r>
        <w:rPr>
          <w:rFonts w:ascii="Verdana" w:hAnsi="Verdana" w:cs="Verdana"/>
          <w:color w:val="333333"/>
          <w:sz w:val="18"/>
          <w:szCs w:val="18"/>
          <w:shd w:val="clear" w:color="auto" w:fill="FEFCFD"/>
        </w:rPr>
        <w:t> </w:t>
      </w:r>
    </w:p>
    <w:p w14:paraId="0E9E3F5C">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03"/>
        <w:gridCol w:w="1932"/>
        <w:gridCol w:w="865"/>
        <w:gridCol w:w="5750"/>
      </w:tblGrid>
      <w:tr w14:paraId="62F096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5CF548B">
            <w:pPr>
              <w:pStyle w:val="6"/>
              <w:widowControl/>
              <w:spacing w:beforeAutospacing="0" w:afterAutospacing="0" w:line="324" w:lineRule="atLeast"/>
            </w:pPr>
            <w:r>
              <w:t>Input</w:t>
            </w:r>
          </w:p>
        </w:tc>
        <w:tc>
          <w:tcPr>
            <w:tcW w:w="0" w:type="auto"/>
            <w:vMerge w:val="restart"/>
            <w:shd w:val="clear" w:color="auto" w:fill="auto"/>
            <w:vAlign w:val="center"/>
          </w:tcPr>
          <w:p w14:paraId="1D4C385C">
            <w:pPr>
              <w:pStyle w:val="6"/>
              <w:widowControl/>
              <w:spacing w:beforeAutospacing="0" w:afterAutospacing="0" w:line="324" w:lineRule="atLeast"/>
            </w:pPr>
            <w:r>
              <w:t>Input</w:t>
            </w:r>
          </w:p>
        </w:tc>
        <w:tc>
          <w:tcPr>
            <w:tcW w:w="0" w:type="auto"/>
            <w:gridSpan w:val="2"/>
            <w:shd w:val="clear" w:color="auto" w:fill="auto"/>
            <w:vAlign w:val="center"/>
          </w:tcPr>
          <w:p w14:paraId="7EFBC7A2">
            <w:pPr>
              <w:pStyle w:val="6"/>
              <w:widowControl/>
              <w:spacing w:beforeAutospacing="0" w:afterAutospacing="0" w:line="324" w:lineRule="atLeast"/>
            </w:pPr>
            <w:r>
              <w:t>16/32 DVB-C carriers: Max 1024 IP input through Date1-Date4 100/1000M Ethernet Port (or SFP interface optional). Each Data port can input max 1024 IP.</w:t>
            </w:r>
          </w:p>
        </w:tc>
      </w:tr>
      <w:tr w14:paraId="6F6328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025604">
            <w:pPr>
              <w:jc w:val="left"/>
              <w:rPr>
                <w:rFonts w:ascii="宋体"/>
                <w:sz w:val="24"/>
                <w:szCs w:val="24"/>
              </w:rPr>
            </w:pPr>
          </w:p>
        </w:tc>
        <w:tc>
          <w:tcPr>
            <w:tcW w:w="0" w:type="auto"/>
            <w:vMerge w:val="continue"/>
            <w:shd w:val="clear" w:color="auto" w:fill="auto"/>
            <w:vAlign w:val="center"/>
          </w:tcPr>
          <w:p w14:paraId="1C9B46A0">
            <w:pPr>
              <w:jc w:val="left"/>
              <w:rPr>
                <w:rFonts w:ascii="宋体"/>
                <w:sz w:val="24"/>
                <w:szCs w:val="24"/>
              </w:rPr>
            </w:pPr>
          </w:p>
        </w:tc>
        <w:tc>
          <w:tcPr>
            <w:tcW w:w="0" w:type="auto"/>
            <w:gridSpan w:val="2"/>
            <w:shd w:val="clear" w:color="auto" w:fill="auto"/>
            <w:vAlign w:val="center"/>
          </w:tcPr>
          <w:p w14:paraId="15466E69">
            <w:pPr>
              <w:pStyle w:val="6"/>
              <w:widowControl/>
              <w:spacing w:beforeAutospacing="0" w:afterAutospacing="0" w:line="324" w:lineRule="atLeast"/>
            </w:pPr>
            <w:r>
              <w:t>6 ASI input, BNC interface</w:t>
            </w:r>
          </w:p>
        </w:tc>
      </w:tr>
      <w:tr w14:paraId="298048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2FCF8D">
            <w:pPr>
              <w:jc w:val="left"/>
              <w:rPr>
                <w:rFonts w:ascii="宋体"/>
                <w:sz w:val="24"/>
                <w:szCs w:val="24"/>
              </w:rPr>
            </w:pPr>
          </w:p>
        </w:tc>
        <w:tc>
          <w:tcPr>
            <w:tcW w:w="0" w:type="auto"/>
            <w:shd w:val="clear" w:color="auto" w:fill="auto"/>
            <w:vAlign w:val="center"/>
          </w:tcPr>
          <w:p w14:paraId="054A4B01">
            <w:pPr>
              <w:pStyle w:val="6"/>
              <w:widowControl/>
              <w:spacing w:beforeAutospacing="0" w:afterAutospacing="0" w:line="324" w:lineRule="atLeast"/>
            </w:pPr>
            <w:r>
              <w:t>Transport Protocol</w:t>
            </w:r>
          </w:p>
        </w:tc>
        <w:tc>
          <w:tcPr>
            <w:tcW w:w="0" w:type="auto"/>
            <w:gridSpan w:val="2"/>
            <w:shd w:val="clear" w:color="auto" w:fill="auto"/>
            <w:vAlign w:val="center"/>
          </w:tcPr>
          <w:p w14:paraId="49B42641">
            <w:pPr>
              <w:pStyle w:val="6"/>
              <w:widowControl/>
              <w:spacing w:beforeAutospacing="0" w:afterAutospacing="0" w:line="324" w:lineRule="atLeast"/>
            </w:pPr>
            <w:r>
              <w:t>TS over UDP/RTP, unicast and multicast, IGMP V2/V3</w:t>
            </w:r>
          </w:p>
        </w:tc>
      </w:tr>
      <w:tr w14:paraId="61134C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45D702">
            <w:pPr>
              <w:jc w:val="left"/>
              <w:rPr>
                <w:rFonts w:ascii="宋体"/>
                <w:sz w:val="24"/>
                <w:szCs w:val="24"/>
              </w:rPr>
            </w:pPr>
          </w:p>
        </w:tc>
        <w:tc>
          <w:tcPr>
            <w:tcW w:w="0" w:type="auto"/>
            <w:shd w:val="clear" w:color="auto" w:fill="auto"/>
            <w:vAlign w:val="center"/>
          </w:tcPr>
          <w:p w14:paraId="1DC0F35B">
            <w:pPr>
              <w:pStyle w:val="6"/>
              <w:widowControl/>
              <w:spacing w:beforeAutospacing="0" w:afterAutospacing="0" w:line="324" w:lineRule="atLeast"/>
            </w:pPr>
            <w:r>
              <w:t>Transmission Rate</w:t>
            </w:r>
          </w:p>
        </w:tc>
        <w:tc>
          <w:tcPr>
            <w:tcW w:w="0" w:type="auto"/>
            <w:gridSpan w:val="2"/>
            <w:shd w:val="clear" w:color="auto" w:fill="auto"/>
            <w:vAlign w:val="center"/>
          </w:tcPr>
          <w:p w14:paraId="66B96C06">
            <w:pPr>
              <w:pStyle w:val="6"/>
              <w:widowControl/>
              <w:spacing w:beforeAutospacing="0" w:afterAutospacing="0" w:line="324" w:lineRule="atLeast"/>
            </w:pPr>
            <w:r>
              <w:t>Max 840Mbps for each GE input</w:t>
            </w:r>
          </w:p>
        </w:tc>
      </w:tr>
      <w:tr w14:paraId="2F8FF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D615E96">
            <w:pPr>
              <w:pStyle w:val="6"/>
              <w:widowControl/>
              <w:spacing w:beforeAutospacing="0" w:afterAutospacing="0" w:line="324" w:lineRule="atLeast"/>
            </w:pPr>
            <w:r>
              <w:t>Mux</w:t>
            </w:r>
          </w:p>
        </w:tc>
        <w:tc>
          <w:tcPr>
            <w:tcW w:w="0" w:type="auto"/>
            <w:shd w:val="clear" w:color="auto" w:fill="auto"/>
            <w:vAlign w:val="center"/>
          </w:tcPr>
          <w:p w14:paraId="4B95EDBC">
            <w:pPr>
              <w:pStyle w:val="6"/>
              <w:widowControl/>
              <w:spacing w:beforeAutospacing="0" w:afterAutospacing="0" w:line="324" w:lineRule="atLeast"/>
            </w:pPr>
            <w:r>
              <w:t>Input Channel</w:t>
            </w:r>
          </w:p>
        </w:tc>
        <w:tc>
          <w:tcPr>
            <w:tcW w:w="0" w:type="auto"/>
            <w:gridSpan w:val="2"/>
            <w:shd w:val="clear" w:color="auto" w:fill="auto"/>
            <w:vAlign w:val="center"/>
          </w:tcPr>
          <w:p w14:paraId="32EFD840">
            <w:pPr>
              <w:pStyle w:val="6"/>
              <w:widowControl/>
              <w:spacing w:beforeAutospacing="0" w:afterAutospacing="0" w:line="324" w:lineRule="atLeast"/>
            </w:pPr>
            <w:r>
              <w:t>1024</w:t>
            </w:r>
          </w:p>
        </w:tc>
      </w:tr>
      <w:tr w14:paraId="7FDE9F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EFBBF2">
            <w:pPr>
              <w:jc w:val="left"/>
              <w:rPr>
                <w:rFonts w:ascii="宋体"/>
                <w:sz w:val="24"/>
                <w:szCs w:val="24"/>
              </w:rPr>
            </w:pPr>
          </w:p>
        </w:tc>
        <w:tc>
          <w:tcPr>
            <w:tcW w:w="0" w:type="auto"/>
            <w:shd w:val="clear" w:color="auto" w:fill="auto"/>
            <w:vAlign w:val="center"/>
          </w:tcPr>
          <w:p w14:paraId="038ED342">
            <w:pPr>
              <w:pStyle w:val="6"/>
              <w:widowControl/>
              <w:spacing w:beforeAutospacing="0" w:afterAutospacing="0" w:line="324" w:lineRule="atLeast"/>
            </w:pPr>
            <w:r>
              <w:t>Output Channel</w:t>
            </w:r>
          </w:p>
        </w:tc>
        <w:tc>
          <w:tcPr>
            <w:tcW w:w="0" w:type="auto"/>
            <w:gridSpan w:val="2"/>
            <w:shd w:val="clear" w:color="auto" w:fill="auto"/>
            <w:vAlign w:val="center"/>
          </w:tcPr>
          <w:p w14:paraId="764FE5B7">
            <w:pPr>
              <w:pStyle w:val="6"/>
              <w:widowControl/>
              <w:spacing w:beforeAutospacing="0" w:afterAutospacing="0" w:line="324" w:lineRule="atLeast"/>
            </w:pPr>
            <w:r>
              <w:t>16/32</w:t>
            </w:r>
          </w:p>
        </w:tc>
      </w:tr>
      <w:tr w14:paraId="376446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54553D">
            <w:pPr>
              <w:jc w:val="left"/>
              <w:rPr>
                <w:rFonts w:ascii="宋体"/>
                <w:sz w:val="24"/>
                <w:szCs w:val="24"/>
              </w:rPr>
            </w:pPr>
          </w:p>
        </w:tc>
        <w:tc>
          <w:tcPr>
            <w:tcW w:w="0" w:type="auto"/>
            <w:shd w:val="clear" w:color="auto" w:fill="auto"/>
            <w:vAlign w:val="center"/>
          </w:tcPr>
          <w:p w14:paraId="0C713386">
            <w:pPr>
              <w:pStyle w:val="6"/>
              <w:widowControl/>
              <w:spacing w:beforeAutospacing="0" w:afterAutospacing="0" w:line="324" w:lineRule="atLeast"/>
            </w:pPr>
            <w:r>
              <w:t>Max PIDs</w:t>
            </w:r>
          </w:p>
        </w:tc>
        <w:tc>
          <w:tcPr>
            <w:tcW w:w="0" w:type="auto"/>
            <w:gridSpan w:val="2"/>
            <w:shd w:val="clear" w:color="auto" w:fill="auto"/>
            <w:vAlign w:val="center"/>
          </w:tcPr>
          <w:p w14:paraId="1A4B330C">
            <w:pPr>
              <w:pStyle w:val="6"/>
              <w:widowControl/>
              <w:spacing w:beforeAutospacing="0" w:afterAutospacing="0" w:line="324" w:lineRule="atLeast"/>
            </w:pPr>
            <w:r>
              <w:t>256 per channel</w:t>
            </w:r>
          </w:p>
        </w:tc>
      </w:tr>
      <w:tr w14:paraId="22BD2E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F79995">
            <w:pPr>
              <w:jc w:val="left"/>
              <w:rPr>
                <w:rFonts w:ascii="宋体"/>
                <w:sz w:val="24"/>
                <w:szCs w:val="24"/>
              </w:rPr>
            </w:pPr>
          </w:p>
        </w:tc>
        <w:tc>
          <w:tcPr>
            <w:tcW w:w="0" w:type="auto"/>
            <w:vMerge w:val="restart"/>
            <w:shd w:val="clear" w:color="auto" w:fill="auto"/>
            <w:vAlign w:val="center"/>
          </w:tcPr>
          <w:p w14:paraId="5CD8A98E">
            <w:pPr>
              <w:pStyle w:val="6"/>
              <w:widowControl/>
              <w:spacing w:beforeAutospacing="0" w:afterAutospacing="0" w:line="324" w:lineRule="atLeast"/>
            </w:pPr>
            <w:r>
              <w:t>Functions</w:t>
            </w:r>
          </w:p>
        </w:tc>
        <w:tc>
          <w:tcPr>
            <w:tcW w:w="0" w:type="auto"/>
            <w:gridSpan w:val="2"/>
            <w:shd w:val="clear" w:color="auto" w:fill="auto"/>
            <w:vAlign w:val="center"/>
          </w:tcPr>
          <w:p w14:paraId="654E07E9">
            <w:pPr>
              <w:pStyle w:val="6"/>
              <w:widowControl/>
              <w:spacing w:beforeAutospacing="0" w:afterAutospacing="0" w:line="324" w:lineRule="atLeast"/>
            </w:pPr>
            <w:r>
              <w:t>PID remapping(auto/manually optional)</w:t>
            </w:r>
          </w:p>
        </w:tc>
      </w:tr>
      <w:tr w14:paraId="6E606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568D0A">
            <w:pPr>
              <w:jc w:val="left"/>
              <w:rPr>
                <w:rFonts w:ascii="宋体"/>
                <w:sz w:val="24"/>
                <w:szCs w:val="24"/>
              </w:rPr>
            </w:pPr>
          </w:p>
        </w:tc>
        <w:tc>
          <w:tcPr>
            <w:tcW w:w="0" w:type="auto"/>
            <w:vMerge w:val="continue"/>
            <w:shd w:val="clear" w:color="auto" w:fill="auto"/>
            <w:vAlign w:val="center"/>
          </w:tcPr>
          <w:p w14:paraId="71935435">
            <w:pPr>
              <w:jc w:val="left"/>
              <w:rPr>
                <w:rFonts w:ascii="宋体"/>
                <w:sz w:val="24"/>
                <w:szCs w:val="24"/>
              </w:rPr>
            </w:pPr>
          </w:p>
        </w:tc>
        <w:tc>
          <w:tcPr>
            <w:tcW w:w="0" w:type="auto"/>
            <w:gridSpan w:val="2"/>
            <w:shd w:val="clear" w:color="auto" w:fill="auto"/>
            <w:vAlign w:val="center"/>
          </w:tcPr>
          <w:p w14:paraId="0ECA37CE">
            <w:pPr>
              <w:pStyle w:val="6"/>
              <w:widowControl/>
              <w:spacing w:beforeAutospacing="0" w:afterAutospacing="0" w:line="324" w:lineRule="atLeast"/>
            </w:pPr>
            <w:r>
              <w:t>PCR accurate adjusting</w:t>
            </w:r>
          </w:p>
        </w:tc>
      </w:tr>
      <w:tr w14:paraId="508CB1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1A77F3">
            <w:pPr>
              <w:jc w:val="left"/>
              <w:rPr>
                <w:rFonts w:ascii="宋体"/>
                <w:sz w:val="24"/>
                <w:szCs w:val="24"/>
              </w:rPr>
            </w:pPr>
          </w:p>
        </w:tc>
        <w:tc>
          <w:tcPr>
            <w:tcW w:w="0" w:type="auto"/>
            <w:vMerge w:val="continue"/>
            <w:shd w:val="clear" w:color="auto" w:fill="auto"/>
            <w:vAlign w:val="center"/>
          </w:tcPr>
          <w:p w14:paraId="31F2E17A">
            <w:pPr>
              <w:jc w:val="left"/>
              <w:rPr>
                <w:rFonts w:ascii="宋体"/>
                <w:sz w:val="24"/>
                <w:szCs w:val="24"/>
              </w:rPr>
            </w:pPr>
          </w:p>
        </w:tc>
        <w:tc>
          <w:tcPr>
            <w:tcW w:w="0" w:type="auto"/>
            <w:gridSpan w:val="2"/>
            <w:shd w:val="clear" w:color="auto" w:fill="auto"/>
            <w:vAlign w:val="center"/>
          </w:tcPr>
          <w:p w14:paraId="637B9406">
            <w:pPr>
              <w:pStyle w:val="6"/>
              <w:widowControl/>
              <w:spacing w:beforeAutospacing="0" w:afterAutospacing="0" w:line="324" w:lineRule="atLeast"/>
            </w:pPr>
            <w:r>
              <w:t>PSI/SI table automatically generating</w:t>
            </w:r>
          </w:p>
        </w:tc>
      </w:tr>
      <w:tr w14:paraId="0666FB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ED868C3">
            <w:pPr>
              <w:pStyle w:val="6"/>
              <w:widowControl/>
              <w:spacing w:beforeAutospacing="0" w:afterAutospacing="0" w:line="324" w:lineRule="atLeast"/>
            </w:pPr>
            <w:r>
              <w:t>Scrambling</w:t>
            </w:r>
          </w:p>
          <w:p w14:paraId="5226CDAC">
            <w:pPr>
              <w:pStyle w:val="6"/>
              <w:widowControl/>
              <w:spacing w:beforeAutospacing="0" w:afterAutospacing="0" w:line="324" w:lineRule="atLeast"/>
            </w:pPr>
            <w:r>
              <w:t>Parameters</w:t>
            </w:r>
          </w:p>
        </w:tc>
        <w:tc>
          <w:tcPr>
            <w:tcW w:w="0" w:type="auto"/>
            <w:shd w:val="clear" w:color="auto" w:fill="auto"/>
            <w:vAlign w:val="center"/>
          </w:tcPr>
          <w:p w14:paraId="3B8247EE">
            <w:pPr>
              <w:pStyle w:val="6"/>
              <w:widowControl/>
              <w:spacing w:beforeAutospacing="0" w:afterAutospacing="0" w:line="324" w:lineRule="atLeast"/>
            </w:pPr>
            <w:r>
              <w:t>Max simulscrypt CA</w:t>
            </w:r>
          </w:p>
        </w:tc>
        <w:tc>
          <w:tcPr>
            <w:tcW w:w="0" w:type="auto"/>
            <w:gridSpan w:val="2"/>
            <w:shd w:val="clear" w:color="auto" w:fill="auto"/>
            <w:vAlign w:val="center"/>
          </w:tcPr>
          <w:p w14:paraId="1E7780E0">
            <w:pPr>
              <w:pStyle w:val="6"/>
              <w:widowControl/>
              <w:spacing w:beforeAutospacing="0" w:afterAutospacing="0" w:line="324" w:lineRule="atLeast"/>
            </w:pPr>
            <w:r>
              <w:t>6</w:t>
            </w:r>
          </w:p>
        </w:tc>
      </w:tr>
      <w:tr w14:paraId="6AE119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B6B000F">
            <w:pPr>
              <w:jc w:val="left"/>
              <w:rPr>
                <w:rFonts w:ascii="宋体"/>
                <w:sz w:val="24"/>
                <w:szCs w:val="24"/>
              </w:rPr>
            </w:pPr>
          </w:p>
        </w:tc>
        <w:tc>
          <w:tcPr>
            <w:tcW w:w="0" w:type="auto"/>
            <w:shd w:val="clear" w:color="auto" w:fill="auto"/>
            <w:vAlign w:val="center"/>
          </w:tcPr>
          <w:p w14:paraId="3541EBD0">
            <w:pPr>
              <w:pStyle w:val="6"/>
              <w:widowControl/>
              <w:spacing w:beforeAutospacing="0" w:afterAutospacing="0" w:line="324" w:lineRule="atLeast"/>
            </w:pPr>
            <w:r>
              <w:t>Scramble Standard</w:t>
            </w:r>
          </w:p>
        </w:tc>
        <w:tc>
          <w:tcPr>
            <w:tcW w:w="0" w:type="auto"/>
            <w:gridSpan w:val="2"/>
            <w:shd w:val="clear" w:color="auto" w:fill="auto"/>
            <w:vAlign w:val="center"/>
          </w:tcPr>
          <w:p w14:paraId="541D86EF">
            <w:pPr>
              <w:pStyle w:val="6"/>
              <w:widowControl/>
              <w:spacing w:beforeAutospacing="0" w:afterAutospacing="0" w:line="324" w:lineRule="atLeast"/>
            </w:pPr>
            <w:r>
              <w:t>ETR289, ETSI 101 197, ETSI 103 197</w:t>
            </w:r>
          </w:p>
        </w:tc>
      </w:tr>
      <w:tr w14:paraId="2AB0A6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20297A">
            <w:pPr>
              <w:jc w:val="left"/>
              <w:rPr>
                <w:rFonts w:ascii="宋体"/>
                <w:sz w:val="24"/>
                <w:szCs w:val="24"/>
              </w:rPr>
            </w:pPr>
          </w:p>
        </w:tc>
        <w:tc>
          <w:tcPr>
            <w:tcW w:w="0" w:type="auto"/>
            <w:shd w:val="clear" w:color="auto" w:fill="auto"/>
            <w:vAlign w:val="center"/>
          </w:tcPr>
          <w:p w14:paraId="2090512F">
            <w:pPr>
              <w:pStyle w:val="6"/>
              <w:widowControl/>
              <w:spacing w:beforeAutospacing="0" w:afterAutospacing="0" w:line="324" w:lineRule="atLeast"/>
            </w:pPr>
            <w:r>
              <w:t>Connection</w:t>
            </w:r>
          </w:p>
        </w:tc>
        <w:tc>
          <w:tcPr>
            <w:tcW w:w="0" w:type="auto"/>
            <w:gridSpan w:val="2"/>
            <w:shd w:val="clear" w:color="auto" w:fill="auto"/>
            <w:vAlign w:val="center"/>
          </w:tcPr>
          <w:p w14:paraId="5B761C02">
            <w:pPr>
              <w:pStyle w:val="6"/>
              <w:widowControl/>
              <w:spacing w:beforeAutospacing="0" w:afterAutospacing="0" w:line="324" w:lineRule="atLeast"/>
            </w:pPr>
            <w:r>
              <w:t>Local/remote connection</w:t>
            </w:r>
          </w:p>
        </w:tc>
      </w:tr>
      <w:tr w14:paraId="45305F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D2AE206">
            <w:pPr>
              <w:pStyle w:val="6"/>
              <w:widowControl/>
              <w:spacing w:beforeAutospacing="0" w:afterAutospacing="0" w:line="324" w:lineRule="atLeast"/>
            </w:pPr>
            <w:r>
              <w:t>Modulation</w:t>
            </w:r>
          </w:p>
          <w:p w14:paraId="772311EB">
            <w:pPr>
              <w:pStyle w:val="6"/>
              <w:widowControl/>
              <w:spacing w:beforeAutospacing="0" w:afterAutospacing="0" w:line="324" w:lineRule="atLeast"/>
            </w:pPr>
            <w:r>
              <w:t>Parameters</w:t>
            </w:r>
          </w:p>
        </w:tc>
        <w:tc>
          <w:tcPr>
            <w:tcW w:w="0" w:type="auto"/>
            <w:vMerge w:val="restart"/>
            <w:shd w:val="clear" w:color="auto" w:fill="auto"/>
            <w:vAlign w:val="center"/>
          </w:tcPr>
          <w:p w14:paraId="19544294">
            <w:pPr>
              <w:pStyle w:val="6"/>
              <w:widowControl/>
              <w:spacing w:beforeAutospacing="0" w:afterAutospacing="0" w:line="324" w:lineRule="atLeast"/>
            </w:pPr>
            <w:r>
              <w:t>DVB-C Modulator Section</w:t>
            </w:r>
          </w:p>
        </w:tc>
        <w:tc>
          <w:tcPr>
            <w:tcW w:w="0" w:type="auto"/>
            <w:vMerge w:val="restart"/>
            <w:shd w:val="clear" w:color="auto" w:fill="auto"/>
            <w:vAlign w:val="center"/>
          </w:tcPr>
          <w:p w14:paraId="3FD48E5F">
            <w:pPr>
              <w:pStyle w:val="6"/>
              <w:widowControl/>
              <w:spacing w:beforeAutospacing="0" w:afterAutospacing="0" w:line="324" w:lineRule="atLeast"/>
            </w:pPr>
            <w:r>
              <w:t>J.83A</w:t>
            </w:r>
          </w:p>
        </w:tc>
        <w:tc>
          <w:tcPr>
            <w:tcW w:w="0" w:type="auto"/>
            <w:shd w:val="clear" w:color="auto" w:fill="auto"/>
            <w:vAlign w:val="center"/>
          </w:tcPr>
          <w:p w14:paraId="29053A07">
            <w:pPr>
              <w:pStyle w:val="6"/>
              <w:widowControl/>
              <w:spacing w:beforeAutospacing="0" w:afterAutospacing="0" w:line="324" w:lineRule="atLeast"/>
            </w:pPr>
            <w:r>
              <w:t>Constellation : 16/32/64/128/256QAM</w:t>
            </w:r>
          </w:p>
        </w:tc>
      </w:tr>
      <w:tr w14:paraId="43A918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86E243">
            <w:pPr>
              <w:jc w:val="left"/>
              <w:rPr>
                <w:rFonts w:ascii="宋体"/>
                <w:sz w:val="24"/>
                <w:szCs w:val="24"/>
              </w:rPr>
            </w:pPr>
          </w:p>
        </w:tc>
        <w:tc>
          <w:tcPr>
            <w:tcW w:w="0" w:type="auto"/>
            <w:vMerge w:val="continue"/>
            <w:shd w:val="clear" w:color="auto" w:fill="auto"/>
            <w:vAlign w:val="center"/>
          </w:tcPr>
          <w:p w14:paraId="5FAA8C8B">
            <w:pPr>
              <w:jc w:val="left"/>
              <w:rPr>
                <w:rFonts w:ascii="宋体"/>
                <w:sz w:val="24"/>
                <w:szCs w:val="24"/>
              </w:rPr>
            </w:pPr>
          </w:p>
        </w:tc>
        <w:tc>
          <w:tcPr>
            <w:tcW w:w="0" w:type="auto"/>
            <w:vMerge w:val="continue"/>
            <w:shd w:val="clear" w:color="auto" w:fill="auto"/>
            <w:vAlign w:val="center"/>
          </w:tcPr>
          <w:p w14:paraId="7490B573">
            <w:pPr>
              <w:jc w:val="left"/>
              <w:rPr>
                <w:rFonts w:ascii="宋体"/>
                <w:sz w:val="24"/>
                <w:szCs w:val="24"/>
              </w:rPr>
            </w:pPr>
          </w:p>
        </w:tc>
        <w:tc>
          <w:tcPr>
            <w:tcW w:w="0" w:type="auto"/>
            <w:shd w:val="clear" w:color="auto" w:fill="auto"/>
            <w:vAlign w:val="center"/>
          </w:tcPr>
          <w:p w14:paraId="6CE41E46">
            <w:pPr>
              <w:pStyle w:val="6"/>
              <w:widowControl/>
              <w:spacing w:beforeAutospacing="0" w:afterAutospacing="0" w:line="324" w:lineRule="atLeast"/>
            </w:pPr>
            <w:r>
              <w:t>Bandwidth :8M</w:t>
            </w:r>
          </w:p>
        </w:tc>
      </w:tr>
      <w:tr w14:paraId="3BD3A4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1DFC62">
            <w:pPr>
              <w:jc w:val="left"/>
              <w:rPr>
                <w:rFonts w:ascii="宋体"/>
                <w:sz w:val="24"/>
                <w:szCs w:val="24"/>
              </w:rPr>
            </w:pPr>
          </w:p>
        </w:tc>
        <w:tc>
          <w:tcPr>
            <w:tcW w:w="0" w:type="auto"/>
            <w:vMerge w:val="continue"/>
            <w:shd w:val="clear" w:color="auto" w:fill="auto"/>
            <w:vAlign w:val="center"/>
          </w:tcPr>
          <w:p w14:paraId="7C83AED6">
            <w:pPr>
              <w:jc w:val="left"/>
              <w:rPr>
                <w:rFonts w:ascii="宋体"/>
                <w:sz w:val="24"/>
                <w:szCs w:val="24"/>
              </w:rPr>
            </w:pPr>
          </w:p>
        </w:tc>
        <w:tc>
          <w:tcPr>
            <w:tcW w:w="0" w:type="auto"/>
            <w:vMerge w:val="restart"/>
            <w:shd w:val="clear" w:color="auto" w:fill="auto"/>
            <w:vAlign w:val="center"/>
          </w:tcPr>
          <w:p w14:paraId="217D3003">
            <w:pPr>
              <w:pStyle w:val="6"/>
              <w:widowControl/>
              <w:spacing w:beforeAutospacing="0" w:afterAutospacing="0" w:line="324" w:lineRule="atLeast"/>
            </w:pPr>
            <w:r>
              <w:t>J.83B</w:t>
            </w:r>
          </w:p>
        </w:tc>
        <w:tc>
          <w:tcPr>
            <w:tcW w:w="0" w:type="auto"/>
            <w:shd w:val="clear" w:color="auto" w:fill="auto"/>
            <w:vAlign w:val="center"/>
          </w:tcPr>
          <w:p w14:paraId="439E3BEA">
            <w:pPr>
              <w:pStyle w:val="6"/>
              <w:widowControl/>
              <w:spacing w:beforeAutospacing="0" w:afterAutospacing="0" w:line="324" w:lineRule="atLeast"/>
            </w:pPr>
            <w:r>
              <w:t>Constellation : 64QAM/ 256QAM</w:t>
            </w:r>
          </w:p>
        </w:tc>
      </w:tr>
      <w:tr w14:paraId="72F107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B3E4D3C">
            <w:pPr>
              <w:jc w:val="left"/>
              <w:rPr>
                <w:rFonts w:ascii="宋体"/>
                <w:sz w:val="24"/>
                <w:szCs w:val="24"/>
              </w:rPr>
            </w:pPr>
          </w:p>
        </w:tc>
        <w:tc>
          <w:tcPr>
            <w:tcW w:w="0" w:type="auto"/>
            <w:vMerge w:val="continue"/>
            <w:shd w:val="clear" w:color="auto" w:fill="auto"/>
            <w:vAlign w:val="center"/>
          </w:tcPr>
          <w:p w14:paraId="1014C019">
            <w:pPr>
              <w:jc w:val="left"/>
              <w:rPr>
                <w:rFonts w:ascii="宋体"/>
                <w:sz w:val="24"/>
                <w:szCs w:val="24"/>
              </w:rPr>
            </w:pPr>
          </w:p>
        </w:tc>
        <w:tc>
          <w:tcPr>
            <w:tcW w:w="0" w:type="auto"/>
            <w:vMerge w:val="continue"/>
            <w:shd w:val="clear" w:color="auto" w:fill="auto"/>
            <w:vAlign w:val="center"/>
          </w:tcPr>
          <w:p w14:paraId="184BC8A5">
            <w:pPr>
              <w:jc w:val="left"/>
              <w:rPr>
                <w:rFonts w:ascii="宋体"/>
                <w:sz w:val="24"/>
                <w:szCs w:val="24"/>
              </w:rPr>
            </w:pPr>
          </w:p>
        </w:tc>
        <w:tc>
          <w:tcPr>
            <w:tcW w:w="0" w:type="auto"/>
            <w:shd w:val="clear" w:color="auto" w:fill="auto"/>
            <w:vAlign w:val="center"/>
          </w:tcPr>
          <w:p w14:paraId="16FFA7E0">
            <w:pPr>
              <w:pStyle w:val="6"/>
              <w:widowControl/>
              <w:spacing w:beforeAutospacing="0" w:afterAutospacing="0" w:line="324" w:lineRule="atLeast"/>
            </w:pPr>
            <w:bookmarkStart w:id="0" w:name="OLE_LINK5"/>
            <w:r>
              <w:t>Bandwidth :6M</w:t>
            </w:r>
            <w:bookmarkEnd w:id="0"/>
          </w:p>
        </w:tc>
      </w:tr>
      <w:tr w14:paraId="1E2AF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AA4131">
            <w:pPr>
              <w:jc w:val="left"/>
              <w:rPr>
                <w:rFonts w:ascii="宋体"/>
                <w:sz w:val="24"/>
                <w:szCs w:val="24"/>
              </w:rPr>
            </w:pPr>
          </w:p>
        </w:tc>
        <w:tc>
          <w:tcPr>
            <w:tcW w:w="0" w:type="auto"/>
            <w:shd w:val="clear" w:color="auto" w:fill="auto"/>
            <w:vAlign w:val="center"/>
          </w:tcPr>
          <w:p w14:paraId="5B32DE49">
            <w:pPr>
              <w:pStyle w:val="6"/>
              <w:widowControl/>
              <w:spacing w:beforeAutospacing="0" w:afterAutospacing="0" w:line="324" w:lineRule="atLeast"/>
            </w:pPr>
            <w:r>
              <w:t>QAM Channel</w:t>
            </w:r>
          </w:p>
        </w:tc>
        <w:tc>
          <w:tcPr>
            <w:tcW w:w="0" w:type="auto"/>
            <w:gridSpan w:val="2"/>
            <w:shd w:val="clear" w:color="auto" w:fill="auto"/>
            <w:vAlign w:val="center"/>
          </w:tcPr>
          <w:p w14:paraId="749FFF0E">
            <w:pPr>
              <w:pStyle w:val="6"/>
              <w:widowControl/>
              <w:spacing w:beforeAutospacing="0" w:afterAutospacing="0" w:line="324" w:lineRule="atLeast"/>
            </w:pPr>
            <w:r>
              <w:t>16/32 non-adjacent carrier</w:t>
            </w:r>
          </w:p>
        </w:tc>
      </w:tr>
      <w:tr w14:paraId="3E4A4A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C1780C">
            <w:pPr>
              <w:jc w:val="left"/>
              <w:rPr>
                <w:rFonts w:ascii="宋体"/>
                <w:sz w:val="24"/>
                <w:szCs w:val="24"/>
              </w:rPr>
            </w:pPr>
          </w:p>
        </w:tc>
        <w:tc>
          <w:tcPr>
            <w:tcW w:w="0" w:type="auto"/>
            <w:shd w:val="clear" w:color="auto" w:fill="auto"/>
            <w:vAlign w:val="center"/>
          </w:tcPr>
          <w:p w14:paraId="3B17F42D">
            <w:pPr>
              <w:pStyle w:val="6"/>
              <w:widowControl/>
              <w:spacing w:beforeAutospacing="0" w:afterAutospacing="0" w:line="324" w:lineRule="atLeast"/>
            </w:pPr>
            <w:r>
              <w:t>Modulation Standard</w:t>
            </w:r>
          </w:p>
        </w:tc>
        <w:tc>
          <w:tcPr>
            <w:tcW w:w="0" w:type="auto"/>
            <w:gridSpan w:val="2"/>
            <w:shd w:val="clear" w:color="auto" w:fill="auto"/>
            <w:vAlign w:val="center"/>
          </w:tcPr>
          <w:p w14:paraId="06C52C41">
            <w:pPr>
              <w:pStyle w:val="6"/>
              <w:widowControl/>
              <w:spacing w:beforeAutospacing="0" w:afterAutospacing="0" w:line="324" w:lineRule="atLeast"/>
            </w:pPr>
            <w:r>
              <w:t>EN300 429/ITU-T J.83A/B(DVB-C)</w:t>
            </w:r>
          </w:p>
        </w:tc>
      </w:tr>
      <w:tr w14:paraId="03F3CB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6DADB4">
            <w:pPr>
              <w:jc w:val="left"/>
              <w:rPr>
                <w:rFonts w:ascii="宋体"/>
                <w:sz w:val="24"/>
                <w:szCs w:val="24"/>
              </w:rPr>
            </w:pPr>
          </w:p>
        </w:tc>
        <w:tc>
          <w:tcPr>
            <w:tcW w:w="0" w:type="auto"/>
            <w:shd w:val="clear" w:color="auto" w:fill="auto"/>
            <w:vAlign w:val="center"/>
          </w:tcPr>
          <w:p w14:paraId="39D8D5B8">
            <w:pPr>
              <w:pStyle w:val="6"/>
              <w:widowControl/>
              <w:spacing w:beforeAutospacing="0" w:afterAutospacing="0" w:line="324" w:lineRule="atLeast"/>
            </w:pPr>
            <w:r>
              <w:t>Symbol Rate</w:t>
            </w:r>
          </w:p>
        </w:tc>
        <w:tc>
          <w:tcPr>
            <w:tcW w:w="0" w:type="auto"/>
            <w:gridSpan w:val="2"/>
            <w:shd w:val="clear" w:color="auto" w:fill="auto"/>
            <w:vAlign w:val="center"/>
          </w:tcPr>
          <w:p w14:paraId="35134C3A">
            <w:pPr>
              <w:pStyle w:val="6"/>
              <w:widowControl/>
              <w:spacing w:beforeAutospacing="0" w:afterAutospacing="0" w:line="324" w:lineRule="atLeast"/>
            </w:pPr>
            <w:r>
              <w:t>5.0~7.0Msps, 1ksps stepping</w:t>
            </w:r>
          </w:p>
        </w:tc>
      </w:tr>
      <w:tr w14:paraId="22BFD6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337349">
            <w:pPr>
              <w:jc w:val="left"/>
              <w:rPr>
                <w:rFonts w:ascii="宋体"/>
                <w:sz w:val="24"/>
                <w:szCs w:val="24"/>
              </w:rPr>
            </w:pPr>
          </w:p>
        </w:tc>
        <w:tc>
          <w:tcPr>
            <w:tcW w:w="0" w:type="auto"/>
            <w:shd w:val="clear" w:color="auto" w:fill="auto"/>
            <w:vAlign w:val="center"/>
          </w:tcPr>
          <w:p w14:paraId="049C15DB">
            <w:pPr>
              <w:pStyle w:val="6"/>
              <w:widowControl/>
              <w:spacing w:beforeAutospacing="0" w:afterAutospacing="0" w:line="324" w:lineRule="atLeast"/>
            </w:pPr>
            <w:r>
              <w:t>Constellation</w:t>
            </w:r>
          </w:p>
        </w:tc>
        <w:tc>
          <w:tcPr>
            <w:tcW w:w="0" w:type="auto"/>
            <w:gridSpan w:val="2"/>
            <w:shd w:val="clear" w:color="auto" w:fill="auto"/>
            <w:vAlign w:val="center"/>
          </w:tcPr>
          <w:p w14:paraId="56CFA7DD">
            <w:pPr>
              <w:pStyle w:val="6"/>
              <w:widowControl/>
              <w:spacing w:beforeAutospacing="0" w:afterAutospacing="0" w:line="324" w:lineRule="atLeast"/>
            </w:pPr>
            <w:r>
              <w:t>16, 32, 64 , 128, 256QAM</w:t>
            </w:r>
          </w:p>
        </w:tc>
      </w:tr>
      <w:tr w14:paraId="05C915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197058">
            <w:pPr>
              <w:jc w:val="left"/>
              <w:rPr>
                <w:rFonts w:ascii="宋体"/>
                <w:sz w:val="24"/>
                <w:szCs w:val="24"/>
              </w:rPr>
            </w:pPr>
          </w:p>
        </w:tc>
        <w:tc>
          <w:tcPr>
            <w:tcW w:w="0" w:type="auto"/>
            <w:shd w:val="clear" w:color="auto" w:fill="auto"/>
            <w:vAlign w:val="center"/>
          </w:tcPr>
          <w:p w14:paraId="49F0A3D6">
            <w:pPr>
              <w:pStyle w:val="6"/>
              <w:widowControl/>
              <w:spacing w:beforeAutospacing="0" w:afterAutospacing="0" w:line="324" w:lineRule="atLeast"/>
            </w:pPr>
            <w:r>
              <w:t>FEC</w:t>
            </w:r>
          </w:p>
        </w:tc>
        <w:tc>
          <w:tcPr>
            <w:tcW w:w="0" w:type="auto"/>
            <w:gridSpan w:val="2"/>
            <w:shd w:val="clear" w:color="auto" w:fill="auto"/>
            <w:vAlign w:val="center"/>
          </w:tcPr>
          <w:p w14:paraId="488DDBE0">
            <w:pPr>
              <w:pStyle w:val="6"/>
              <w:widowControl/>
              <w:spacing w:beforeAutospacing="0" w:afterAutospacing="0" w:line="324" w:lineRule="atLeast"/>
            </w:pPr>
            <w:r>
              <w:t>RS (204, 188)</w:t>
            </w:r>
          </w:p>
        </w:tc>
      </w:tr>
      <w:tr w14:paraId="3AA30D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057F746">
            <w:pPr>
              <w:pStyle w:val="6"/>
              <w:widowControl/>
              <w:spacing w:beforeAutospacing="0" w:afterAutospacing="0" w:line="324" w:lineRule="atLeast"/>
            </w:pPr>
            <w:r>
              <w:t>RF Output</w:t>
            </w:r>
          </w:p>
        </w:tc>
        <w:tc>
          <w:tcPr>
            <w:tcW w:w="0" w:type="auto"/>
            <w:shd w:val="clear" w:color="auto" w:fill="auto"/>
            <w:vAlign w:val="center"/>
          </w:tcPr>
          <w:p w14:paraId="0CC8C7DF">
            <w:pPr>
              <w:pStyle w:val="6"/>
              <w:widowControl/>
              <w:spacing w:beforeAutospacing="0" w:afterAutospacing="0" w:line="324" w:lineRule="atLeast"/>
            </w:pPr>
            <w:r>
              <w:t>Interface</w:t>
            </w:r>
          </w:p>
        </w:tc>
        <w:tc>
          <w:tcPr>
            <w:tcW w:w="0" w:type="auto"/>
            <w:gridSpan w:val="2"/>
            <w:shd w:val="clear" w:color="auto" w:fill="auto"/>
            <w:vAlign w:val="center"/>
          </w:tcPr>
          <w:p w14:paraId="067F1913">
            <w:pPr>
              <w:pStyle w:val="6"/>
              <w:widowControl/>
              <w:spacing w:beforeAutospacing="0" w:afterAutospacing="0" w:line="324" w:lineRule="atLeast"/>
            </w:pPr>
            <w:r>
              <w:t>1 F typed output port for 16/32 carriers, 75Ω</w:t>
            </w:r>
          </w:p>
        </w:tc>
      </w:tr>
      <w:tr w14:paraId="7E3156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125D4F">
            <w:pPr>
              <w:jc w:val="left"/>
              <w:rPr>
                <w:rFonts w:ascii="宋体"/>
                <w:sz w:val="24"/>
                <w:szCs w:val="24"/>
              </w:rPr>
            </w:pPr>
          </w:p>
        </w:tc>
        <w:tc>
          <w:tcPr>
            <w:tcW w:w="0" w:type="auto"/>
            <w:shd w:val="clear" w:color="auto" w:fill="auto"/>
            <w:vAlign w:val="center"/>
          </w:tcPr>
          <w:p w14:paraId="7336A195">
            <w:pPr>
              <w:pStyle w:val="6"/>
              <w:widowControl/>
              <w:spacing w:beforeAutospacing="0" w:afterAutospacing="0" w:line="324" w:lineRule="atLeast"/>
            </w:pPr>
            <w:r>
              <w:t>RF Range</w:t>
            </w:r>
          </w:p>
        </w:tc>
        <w:tc>
          <w:tcPr>
            <w:tcW w:w="0" w:type="auto"/>
            <w:gridSpan w:val="2"/>
            <w:shd w:val="clear" w:color="auto" w:fill="auto"/>
            <w:vAlign w:val="center"/>
          </w:tcPr>
          <w:p w14:paraId="1E2F1099">
            <w:pPr>
              <w:pStyle w:val="6"/>
              <w:widowControl/>
              <w:spacing w:beforeAutospacing="0" w:afterAutospacing="0" w:line="324" w:lineRule="atLeast"/>
            </w:pPr>
            <w:r>
              <w:t>50~960MHz, 1kHz stepping</w:t>
            </w:r>
          </w:p>
        </w:tc>
      </w:tr>
      <w:tr w14:paraId="0D554B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6966EF">
            <w:pPr>
              <w:jc w:val="left"/>
              <w:rPr>
                <w:rFonts w:ascii="宋体"/>
                <w:sz w:val="24"/>
                <w:szCs w:val="24"/>
              </w:rPr>
            </w:pPr>
          </w:p>
        </w:tc>
        <w:tc>
          <w:tcPr>
            <w:tcW w:w="0" w:type="auto"/>
            <w:shd w:val="clear" w:color="auto" w:fill="auto"/>
            <w:vAlign w:val="center"/>
          </w:tcPr>
          <w:p w14:paraId="0C4DA604">
            <w:pPr>
              <w:pStyle w:val="6"/>
              <w:widowControl/>
              <w:spacing w:beforeAutospacing="0" w:afterAutospacing="0" w:line="324" w:lineRule="atLeast"/>
            </w:pPr>
            <w:r>
              <w:t>Output Level</w:t>
            </w:r>
          </w:p>
        </w:tc>
        <w:tc>
          <w:tcPr>
            <w:tcW w:w="0" w:type="auto"/>
            <w:gridSpan w:val="2"/>
            <w:shd w:val="clear" w:color="auto" w:fill="auto"/>
            <w:vAlign w:val="center"/>
          </w:tcPr>
          <w:p w14:paraId="7108A4AD">
            <w:pPr>
              <w:pStyle w:val="6"/>
              <w:widowControl/>
              <w:spacing w:beforeAutospacing="0" w:afterAutospacing="0" w:line="324" w:lineRule="atLeast"/>
            </w:pPr>
            <w:r>
              <w:t>-20dBm~+10dBm(87~117dbµV), 0.1dB stepping</w:t>
            </w:r>
          </w:p>
        </w:tc>
      </w:tr>
      <w:tr w14:paraId="68810E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624F30">
            <w:pPr>
              <w:jc w:val="left"/>
              <w:rPr>
                <w:rFonts w:ascii="宋体"/>
                <w:sz w:val="24"/>
                <w:szCs w:val="24"/>
              </w:rPr>
            </w:pPr>
          </w:p>
        </w:tc>
        <w:tc>
          <w:tcPr>
            <w:tcW w:w="0" w:type="auto"/>
            <w:shd w:val="clear" w:color="auto" w:fill="auto"/>
            <w:vAlign w:val="center"/>
          </w:tcPr>
          <w:p w14:paraId="58BB0294">
            <w:pPr>
              <w:pStyle w:val="6"/>
              <w:widowControl/>
              <w:spacing w:beforeAutospacing="0" w:afterAutospacing="0" w:line="324" w:lineRule="atLeast"/>
            </w:pPr>
            <w:r>
              <w:t>MER</w:t>
            </w:r>
          </w:p>
        </w:tc>
        <w:tc>
          <w:tcPr>
            <w:tcW w:w="0" w:type="auto"/>
            <w:gridSpan w:val="2"/>
            <w:shd w:val="clear" w:color="auto" w:fill="auto"/>
            <w:vAlign w:val="center"/>
          </w:tcPr>
          <w:p w14:paraId="17A880A7">
            <w:pPr>
              <w:pStyle w:val="6"/>
              <w:widowControl/>
              <w:spacing w:beforeAutospacing="0" w:afterAutospacing="0" w:line="324" w:lineRule="atLeast"/>
            </w:pPr>
            <w:r>
              <w:t>≥ 40dB</w:t>
            </w:r>
          </w:p>
        </w:tc>
      </w:tr>
      <w:tr w14:paraId="7C9E6A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9CB0CBA">
            <w:pPr>
              <w:pStyle w:val="6"/>
              <w:widowControl/>
              <w:spacing w:beforeAutospacing="0" w:afterAutospacing="0" w:line="324" w:lineRule="atLeast"/>
            </w:pPr>
            <w:r>
              <w:t>TS output</w:t>
            </w:r>
          </w:p>
        </w:tc>
        <w:tc>
          <w:tcPr>
            <w:tcW w:w="0" w:type="auto"/>
            <w:gridSpan w:val="3"/>
            <w:shd w:val="clear" w:color="auto" w:fill="auto"/>
            <w:vAlign w:val="center"/>
          </w:tcPr>
          <w:p w14:paraId="2CE3DE60">
            <w:pPr>
              <w:pStyle w:val="6"/>
              <w:widowControl/>
              <w:spacing w:beforeAutospacing="0" w:afterAutospacing="0" w:line="324" w:lineRule="atLeast"/>
            </w:pPr>
            <w:r>
              <w:t>16/32 IP output over UDP/RTP/RTSP, unicast/multicast, Data1 100/1000M Ethernet Ports</w:t>
            </w:r>
          </w:p>
        </w:tc>
      </w:tr>
      <w:tr w14:paraId="04F6BC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F8D7AD">
            <w:pPr>
              <w:jc w:val="left"/>
              <w:rPr>
                <w:rFonts w:ascii="宋体"/>
                <w:sz w:val="24"/>
                <w:szCs w:val="24"/>
              </w:rPr>
            </w:pPr>
          </w:p>
        </w:tc>
        <w:tc>
          <w:tcPr>
            <w:tcW w:w="0" w:type="auto"/>
            <w:gridSpan w:val="3"/>
            <w:shd w:val="clear" w:color="auto" w:fill="auto"/>
            <w:vAlign w:val="center"/>
          </w:tcPr>
          <w:p w14:paraId="3EA9B4C3">
            <w:pPr>
              <w:pStyle w:val="6"/>
              <w:widowControl/>
              <w:spacing w:beforeAutospacing="0" w:afterAutospacing="0" w:line="324" w:lineRule="atLeast"/>
            </w:pPr>
            <w:r>
              <w:t>2 ASI output, one as mirror</w:t>
            </w:r>
          </w:p>
        </w:tc>
      </w:tr>
      <w:tr w14:paraId="2847FB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2A5431A">
            <w:pPr>
              <w:pStyle w:val="6"/>
              <w:widowControl/>
              <w:spacing w:beforeAutospacing="0" w:afterAutospacing="0" w:line="324" w:lineRule="atLeast"/>
            </w:pPr>
            <w:r>
              <w:t>System</w:t>
            </w:r>
          </w:p>
        </w:tc>
        <w:tc>
          <w:tcPr>
            <w:tcW w:w="0" w:type="auto"/>
            <w:gridSpan w:val="3"/>
            <w:shd w:val="clear" w:color="auto" w:fill="auto"/>
            <w:vAlign w:val="center"/>
          </w:tcPr>
          <w:p w14:paraId="58412AF4">
            <w:pPr>
              <w:pStyle w:val="6"/>
              <w:widowControl/>
              <w:spacing w:beforeAutospacing="0" w:afterAutospacing="0" w:line="324" w:lineRule="atLeast"/>
            </w:pPr>
            <w:r>
              <w:t>Network management software (NMS) supporting</w:t>
            </w:r>
          </w:p>
        </w:tc>
      </w:tr>
      <w:tr w14:paraId="561213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D5E93D3">
            <w:pPr>
              <w:pStyle w:val="6"/>
              <w:widowControl/>
              <w:spacing w:beforeAutospacing="0" w:afterAutospacing="0" w:line="324" w:lineRule="atLeast"/>
            </w:pPr>
            <w:r>
              <w:t>General</w:t>
            </w:r>
          </w:p>
        </w:tc>
        <w:tc>
          <w:tcPr>
            <w:tcW w:w="0" w:type="auto"/>
            <w:shd w:val="clear" w:color="auto" w:fill="auto"/>
            <w:vAlign w:val="center"/>
          </w:tcPr>
          <w:p w14:paraId="7D63B63F">
            <w:pPr>
              <w:pStyle w:val="6"/>
              <w:widowControl/>
              <w:spacing w:beforeAutospacing="0" w:afterAutospacing="0" w:line="324" w:lineRule="atLeast"/>
            </w:pPr>
            <w:r>
              <w:t>Demission</w:t>
            </w:r>
          </w:p>
        </w:tc>
        <w:tc>
          <w:tcPr>
            <w:tcW w:w="0" w:type="auto"/>
            <w:gridSpan w:val="2"/>
            <w:shd w:val="clear" w:color="auto" w:fill="auto"/>
            <w:vAlign w:val="center"/>
          </w:tcPr>
          <w:p w14:paraId="1329A620">
            <w:pPr>
              <w:pStyle w:val="6"/>
              <w:widowControl/>
              <w:spacing w:beforeAutospacing="0" w:afterAutospacing="0" w:line="324" w:lineRule="atLeast"/>
            </w:pPr>
            <w:r>
              <w:t>420mm×440mm×44.5mm (WxLxH)</w:t>
            </w:r>
          </w:p>
        </w:tc>
      </w:tr>
      <w:tr w14:paraId="3C659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D28F02">
            <w:pPr>
              <w:jc w:val="left"/>
              <w:rPr>
                <w:rFonts w:ascii="宋体"/>
                <w:sz w:val="24"/>
                <w:szCs w:val="24"/>
              </w:rPr>
            </w:pPr>
          </w:p>
        </w:tc>
        <w:tc>
          <w:tcPr>
            <w:tcW w:w="0" w:type="auto"/>
            <w:shd w:val="clear" w:color="auto" w:fill="auto"/>
            <w:vAlign w:val="center"/>
          </w:tcPr>
          <w:p w14:paraId="1F21A959">
            <w:pPr>
              <w:pStyle w:val="6"/>
              <w:widowControl/>
              <w:spacing w:beforeAutospacing="0" w:afterAutospacing="0" w:line="324" w:lineRule="atLeast"/>
            </w:pPr>
            <w:r>
              <w:t>Temperature</w:t>
            </w:r>
          </w:p>
        </w:tc>
        <w:tc>
          <w:tcPr>
            <w:tcW w:w="0" w:type="auto"/>
            <w:gridSpan w:val="2"/>
            <w:shd w:val="clear" w:color="auto" w:fill="auto"/>
            <w:vAlign w:val="center"/>
          </w:tcPr>
          <w:p w14:paraId="5693AED0">
            <w:pPr>
              <w:pStyle w:val="6"/>
              <w:widowControl/>
              <w:spacing w:beforeAutospacing="0" w:afterAutospacing="0" w:line="324" w:lineRule="atLeast"/>
            </w:pPr>
            <w:r>
              <w:t>0~45℃(operation), -20~80℃(storage)</w:t>
            </w:r>
          </w:p>
        </w:tc>
      </w:tr>
      <w:tr w14:paraId="36F947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E78D1E">
            <w:pPr>
              <w:jc w:val="left"/>
              <w:rPr>
                <w:rFonts w:ascii="宋体"/>
                <w:sz w:val="24"/>
                <w:szCs w:val="24"/>
              </w:rPr>
            </w:pPr>
          </w:p>
        </w:tc>
        <w:tc>
          <w:tcPr>
            <w:tcW w:w="0" w:type="auto"/>
            <w:shd w:val="clear" w:color="auto" w:fill="auto"/>
            <w:vAlign w:val="center"/>
          </w:tcPr>
          <w:p w14:paraId="314C1366">
            <w:pPr>
              <w:pStyle w:val="6"/>
              <w:widowControl/>
              <w:spacing w:beforeAutospacing="0" w:afterAutospacing="0" w:line="324" w:lineRule="atLeast"/>
            </w:pPr>
            <w:r>
              <w:t>Power Supply</w:t>
            </w:r>
          </w:p>
        </w:tc>
        <w:tc>
          <w:tcPr>
            <w:tcW w:w="0" w:type="auto"/>
            <w:gridSpan w:val="2"/>
            <w:shd w:val="clear" w:color="auto" w:fill="auto"/>
            <w:vAlign w:val="center"/>
          </w:tcPr>
          <w:p w14:paraId="59C947F5">
            <w:pPr>
              <w:pStyle w:val="6"/>
              <w:widowControl/>
              <w:spacing w:beforeAutospacing="0" w:afterAutospacing="0" w:line="324" w:lineRule="atLeast"/>
            </w:pPr>
            <w:r>
              <w:t>AC 100V±10%, 50/60Hz or AC 220V±10%, 50/60Hz</w:t>
            </w:r>
          </w:p>
        </w:tc>
      </w:tr>
    </w:tbl>
    <w:p w14:paraId="7AD4A90D">
      <w:pPr>
        <w:pStyle w:val="6"/>
        <w:widowControl/>
        <w:spacing w:beforeAutospacing="0" w:afterAutospacing="0" w:line="324" w:lineRule="atLeast"/>
      </w:pPr>
      <w:r>
        <w:rPr>
          <w:rFonts w:ascii="Verdana" w:hAnsi="Verdana" w:cs="Verdana"/>
          <w:color w:val="333333"/>
          <w:sz w:val="18"/>
          <w:szCs w:val="18"/>
          <w:shd w:val="clear" w:color="auto" w:fill="FEFCFD"/>
        </w:rPr>
        <w:t> </w:t>
      </w:r>
    </w:p>
    <w:p w14:paraId="368267DA">
      <w:pPr>
        <w:widowControl/>
        <w:shd w:val="clear" w:color="auto" w:fill="F2F2F4"/>
        <w:jc w:val="left"/>
        <w:rPr>
          <w:rFonts w:ascii="Verdana" w:hAnsi="Verdana" w:cs="Verdana"/>
          <w:color w:val="333333"/>
          <w:sz w:val="18"/>
          <w:szCs w:val="18"/>
        </w:rPr>
      </w:pPr>
    </w:p>
    <w:p w14:paraId="423E3A66">
      <w:pPr>
        <w:rPr>
          <w:rFonts w:ascii="Verdana" w:hAnsi="Verdana" w:cs="Verdana"/>
          <w:color w:val="000000"/>
          <w:sz w:val="28"/>
        </w:rPr>
      </w:pPr>
    </w:p>
    <w:p w14:paraId="2CAEBC38">
      <w:pPr>
        <w:rPr>
          <w:rFonts w:ascii="Verdana" w:hAnsi="Verdana" w:cs="Verdana"/>
          <w:b/>
          <w:color w:val="000000"/>
          <w:sz w:val="22"/>
        </w:rPr>
      </w:pPr>
      <w:r>
        <w:rPr>
          <w:rFonts w:hint="eastAsia" w:ascii="Verdana" w:hAnsi="Verdana" w:cs="Verdana"/>
          <w:b/>
          <w:color w:val="000000"/>
          <w:sz w:val="22"/>
        </w:rPr>
        <w:t>About Us</w:t>
      </w:r>
    </w:p>
    <w:p w14:paraId="1214864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12E60D0">
      <w:pPr>
        <w:rPr>
          <w:rFonts w:ascii="Verdana" w:hAnsi="Verdana" w:cs="Verdana"/>
          <w:color w:val="000000"/>
          <w:sz w:val="18"/>
        </w:rPr>
      </w:pPr>
    </w:p>
    <w:p w14:paraId="3853CB7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3AA6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E1B8FF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ACD5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E600F"/>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0FF2D9B"/>
    <w:rsid w:val="033D434A"/>
    <w:rsid w:val="0A680B1B"/>
    <w:rsid w:val="0E714EC9"/>
    <w:rsid w:val="0FC87CEA"/>
    <w:rsid w:val="101C4557"/>
    <w:rsid w:val="15C25510"/>
    <w:rsid w:val="16944B16"/>
    <w:rsid w:val="18AE427D"/>
    <w:rsid w:val="18E81EA3"/>
    <w:rsid w:val="1B974A15"/>
    <w:rsid w:val="1C635895"/>
    <w:rsid w:val="1CDC4CA0"/>
    <w:rsid w:val="1FCC39C5"/>
    <w:rsid w:val="20F61905"/>
    <w:rsid w:val="2199682E"/>
    <w:rsid w:val="239E3C7B"/>
    <w:rsid w:val="26A27363"/>
    <w:rsid w:val="27B55639"/>
    <w:rsid w:val="28AA55C7"/>
    <w:rsid w:val="2A752F8B"/>
    <w:rsid w:val="2C665CEA"/>
    <w:rsid w:val="2E0F6BE8"/>
    <w:rsid w:val="314F3E41"/>
    <w:rsid w:val="341B2094"/>
    <w:rsid w:val="3A2436A5"/>
    <w:rsid w:val="3B533162"/>
    <w:rsid w:val="42DE72E7"/>
    <w:rsid w:val="435C3E22"/>
    <w:rsid w:val="45872050"/>
    <w:rsid w:val="478E224E"/>
    <w:rsid w:val="485E04E5"/>
    <w:rsid w:val="487316FE"/>
    <w:rsid w:val="49B75FAC"/>
    <w:rsid w:val="4CE97CE9"/>
    <w:rsid w:val="4D49205A"/>
    <w:rsid w:val="4E4A4BF6"/>
    <w:rsid w:val="4F8D25ED"/>
    <w:rsid w:val="51AD130D"/>
    <w:rsid w:val="540A3FAB"/>
    <w:rsid w:val="562E484B"/>
    <w:rsid w:val="56834992"/>
    <w:rsid w:val="5930748A"/>
    <w:rsid w:val="59933671"/>
    <w:rsid w:val="5AA83521"/>
    <w:rsid w:val="5EEA5249"/>
    <w:rsid w:val="609213A6"/>
    <w:rsid w:val="61914265"/>
    <w:rsid w:val="61BA6334"/>
    <w:rsid w:val="63C27F07"/>
    <w:rsid w:val="68AD6386"/>
    <w:rsid w:val="6D7A6503"/>
    <w:rsid w:val="6E9B658D"/>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32/V2%20PC-32.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32/V2%20PC-1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32/Carrier%20setting.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171</Words>
  <Characters>916</Characters>
  <Lines>22</Lines>
  <Paragraphs>6</Paragraphs>
  <TotalTime>27</TotalTime>
  <ScaleCrop>false</ScaleCrop>
  <LinksUpToDate>false</LinksUpToDate>
  <CharactersWithSpaces>1066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2025-08-20T06:45:26Z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