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DA20A">
      <w:pPr>
        <w:pStyle w:val="6"/>
        <w:widowControl/>
        <w:spacing w:beforeAutospacing="0" w:afterAutospacing="0" w:line="324" w:lineRule="atLeast"/>
        <w:jc w:val="center"/>
        <w:rPr>
          <w:rFonts w:hint="eastAsia" w:ascii="Verdana" w:hAnsi="Verdana" w:cs="Verdana" w:eastAsiaTheme="minorEastAsia"/>
          <w:b/>
          <w:color w:val="000000"/>
          <w:sz w:val="28"/>
          <w:lang w:eastAsia="zh-CN"/>
        </w:rPr>
      </w:pPr>
      <w:bookmarkStart w:id="0" w:name="_GoBack"/>
      <w:bookmarkEnd w:id="0"/>
      <w:r>
        <w:rPr>
          <w:rFonts w:hint="eastAsia" w:ascii="Verdana" w:hAnsi="Verdana" w:cs="Verdana"/>
          <w:b/>
          <w:i w:val="0"/>
          <w:strike w:val="0"/>
          <w:color w:val="000000"/>
          <w:sz w:val="28"/>
          <w:lang w:eastAsia="zh-CN"/>
        </w:rPr>
        <w:t>FMUSER FUQ-4512E Modulator 1 ASI Input to RF Output DVB-S QPSK RS Coding Convolution Interleaving Web-Based NMS for Broadcasting and Satellite Applications</w:t>
      </w:r>
    </w:p>
    <w:p w14:paraId="530BCD79">
      <w:pPr>
        <w:pStyle w:val="6"/>
        <w:widowControl/>
        <w:spacing w:beforeAutospacing="0" w:afterAutospacing="0" w:line="324" w:lineRule="atLeast"/>
        <w:jc w:val="left"/>
      </w:pPr>
      <w:r>
        <w:rPr>
          <w:rFonts w:ascii="Verdana" w:hAnsi="Verdana" w:cs="Verdana"/>
          <w:color w:val="000000"/>
          <w:sz w:val="28"/>
        </w:rPr>
        <w:drawing>
          <wp:inline distT="0" distB="0" distL="114300" distR="114300">
            <wp:extent cx="6181725" cy="3400425"/>
            <wp:effectExtent l="0" t="0" r="9525" b="9525"/>
            <wp:docPr id="1" name="图片 1" descr="3EEECN_20180425034010"/>
            <wp:cNvGraphicFramePr/>
            <a:graphic xmlns:a="http://schemas.openxmlformats.org/drawingml/2006/main">
              <a:graphicData uri="http://schemas.openxmlformats.org/drawingml/2006/picture">
                <pic:pic xmlns:pic="http://schemas.openxmlformats.org/drawingml/2006/picture">
                  <pic:nvPicPr>
                    <pic:cNvPr id="1" name="图片 1" descr="3EEECN_20180425034010"/>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eastAsia="宋体" w:cs="Verdana"/>
          <w:color w:val="333333"/>
          <w:sz w:val="18"/>
          <w:szCs w:val="18"/>
          <w:shd w:val="clear" w:color="auto" w:fill="FEFCFD"/>
          <w:lang w:eastAsia="zh-CN"/>
        </w:rPr>
        <w:t>Product overview</w:t>
      </w:r>
    </w:p>
    <w:p w14:paraId="2278C18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FUQ-4512E modulator performs QPSK modulation with 1 ASI input and RF output. It employs energy diffusion, RS coding, convolution interleaving, and pre-modulated baseband shaping for high transmission performance. Controlled via web-based NMS for local and remote operation, it is suitable for broadcasting, interactive services, and broadband satellite applications.</w:t>
      </w:r>
    </w:p>
    <w:p w14:paraId="71F08FD7">
      <w:pPr>
        <w:pStyle w:val="6"/>
        <w:widowControl/>
        <w:spacing w:beforeAutospacing="0" w:afterAutospacing="0" w:line="324" w:lineRule="atLeast"/>
        <w:jc w:val="left"/>
        <w:rPr>
          <w:rStyle w:val="10"/>
          <w:rFonts w:hint="eastAsia" w:ascii="Verdana" w:hAnsi="Verdana" w:eastAsia="宋体" w:cs="Verdana"/>
          <w:color w:val="333333"/>
          <w:sz w:val="18"/>
          <w:szCs w:val="18"/>
          <w:shd w:val="clear" w:color="auto" w:fill="FEFCFD"/>
          <w:lang w:eastAsia="zh-CN"/>
        </w:rPr>
      </w:pPr>
      <w:r>
        <w:rPr>
          <w:rStyle w:val="10"/>
          <w:rFonts w:hint="eastAsia" w:ascii="Verdana" w:hAnsi="Verdana" w:eastAsia="宋体" w:cs="Verdana"/>
          <w:color w:val="333333"/>
          <w:sz w:val="18"/>
          <w:szCs w:val="18"/>
          <w:shd w:val="clear" w:color="auto" w:fill="FEFCFD"/>
          <w:lang w:eastAsia="zh-CN"/>
        </w:rPr>
        <w:t>Key feature</w:t>
      </w:r>
    </w:p>
    <w:p w14:paraId="59F9724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Complies with DVB-S (EN300421) standard,  </w:t>
      </w:r>
    </w:p>
    <w:p w14:paraId="0C1E4DD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1 ASI input,  </w:t>
      </w:r>
    </w:p>
    <w:p w14:paraId="53283CD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QPSK constellations,  </w:t>
      </w:r>
    </w:p>
    <w:p w14:paraId="297973F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RF output range: 950-2150MHz with 10kHz stepping,  </w:t>
      </w:r>
    </w:p>
    <w:p w14:paraId="295F2F8D">
      <w:pPr>
        <w:pStyle w:val="6"/>
        <w:widowControl/>
        <w:spacing w:beforeAutospacing="0" w:afterAutospacing="0" w:line="324" w:lineRule="atLeast"/>
      </w:pPr>
      <w:r>
        <w:rPr>
          <w:rFonts w:hint="eastAsia" w:ascii="Verdana" w:hAnsi="Verdana" w:cs="Verdana"/>
          <w:color w:val="333333"/>
          <w:sz w:val="18"/>
          <w:szCs w:val="18"/>
          <w:shd w:val="clear" w:color="auto" w:fill="FEFCFD"/>
        </w:rPr>
        <w:t>Offers web-based NMS for control</w:t>
      </w:r>
      <w:r>
        <w:rPr>
          <w:rFonts w:ascii="Verdana" w:hAnsi="Verdana" w:cs="Verdana"/>
          <w:color w:val="333333"/>
          <w:sz w:val="18"/>
          <w:szCs w:val="18"/>
          <w:shd w:val="clear" w:color="auto" w:fill="FEFCFD"/>
        </w:rPr>
        <w:t> </w:t>
      </w:r>
    </w:p>
    <w:p w14:paraId="18D92830">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64BD7F9C">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8710" cy="2223770"/>
            <wp:effectExtent l="0" t="0" r="2540" b="508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8710" cy="2223770"/>
                    </a:xfrm>
                    <a:prstGeom prst="rect">
                      <a:avLst/>
                    </a:prstGeom>
                    <a:noFill/>
                    <a:ln w="9525">
                      <a:noFill/>
                    </a:ln>
                  </pic:spPr>
                </pic:pic>
              </a:graphicData>
            </a:graphic>
          </wp:inline>
        </w:drawing>
      </w:r>
    </w:p>
    <w:p w14:paraId="22305311">
      <w:pPr>
        <w:pStyle w:val="6"/>
        <w:widowControl/>
        <w:spacing w:beforeAutospacing="0" w:afterAutospacing="0" w:line="324" w:lineRule="atLeast"/>
      </w:pPr>
      <w:r>
        <w:rPr>
          <w:rFonts w:ascii="Verdana" w:hAnsi="Verdana" w:cs="Verdana"/>
          <w:color w:val="333333"/>
          <w:sz w:val="18"/>
          <w:szCs w:val="18"/>
          <w:shd w:val="clear" w:color="auto" w:fill="FEFCFD"/>
        </w:rPr>
        <w:t> </w:t>
      </w:r>
    </w:p>
    <w:p w14:paraId="4E7C9C22">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00B031D2">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p w14:paraId="18D2ABEC">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33"/>
        <w:gridCol w:w="2773"/>
        <w:gridCol w:w="4944"/>
      </w:tblGrid>
      <w:tr w14:paraId="33FB3B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980" w:type="dxa"/>
            <w:shd w:val="clear" w:color="auto" w:fill="auto"/>
            <w:vAlign w:val="center"/>
          </w:tcPr>
          <w:p w14:paraId="202E9AAE">
            <w:pPr>
              <w:pStyle w:val="6"/>
              <w:widowControl/>
              <w:spacing w:beforeAutospacing="0" w:afterAutospacing="0" w:line="324" w:lineRule="atLeast"/>
            </w:pPr>
            <w:r>
              <w:rPr>
                <w:rStyle w:val="10"/>
              </w:rPr>
              <w:t>ASI Input</w:t>
            </w:r>
          </w:p>
        </w:tc>
        <w:tc>
          <w:tcPr>
            <w:tcW w:w="7515" w:type="dxa"/>
            <w:gridSpan w:val="2"/>
            <w:shd w:val="clear" w:color="auto" w:fill="auto"/>
            <w:vAlign w:val="center"/>
          </w:tcPr>
          <w:p w14:paraId="0884C869">
            <w:pPr>
              <w:pStyle w:val="6"/>
              <w:widowControl/>
              <w:spacing w:beforeAutospacing="0" w:afterAutospacing="0" w:line="324" w:lineRule="atLeast"/>
            </w:pPr>
            <w:r>
              <w:t>1×ASI input, BNC interface</w:t>
            </w:r>
          </w:p>
        </w:tc>
      </w:tr>
      <w:tr w14:paraId="3BD555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restart"/>
            <w:shd w:val="clear" w:color="auto" w:fill="auto"/>
            <w:vAlign w:val="center"/>
          </w:tcPr>
          <w:p w14:paraId="03310DCA">
            <w:pPr>
              <w:pStyle w:val="6"/>
              <w:widowControl/>
              <w:spacing w:beforeAutospacing="0" w:afterAutospacing="0" w:line="324" w:lineRule="atLeast"/>
            </w:pPr>
            <w:r>
              <w:rPr>
                <w:rStyle w:val="10"/>
              </w:rPr>
              <w:t>RF Output</w:t>
            </w:r>
          </w:p>
          <w:p w14:paraId="6EC981D0">
            <w:pPr>
              <w:pStyle w:val="6"/>
              <w:widowControl/>
              <w:spacing w:beforeAutospacing="0" w:afterAutospacing="0" w:line="324" w:lineRule="atLeast"/>
              <w:ind w:left="105"/>
            </w:pPr>
            <w:r>
              <w:t> </w:t>
            </w:r>
          </w:p>
        </w:tc>
        <w:tc>
          <w:tcPr>
            <w:tcW w:w="2700" w:type="dxa"/>
            <w:shd w:val="clear" w:color="auto" w:fill="auto"/>
            <w:vAlign w:val="center"/>
          </w:tcPr>
          <w:p w14:paraId="01E86E1D">
            <w:pPr>
              <w:pStyle w:val="6"/>
              <w:widowControl/>
              <w:spacing w:beforeAutospacing="0" w:afterAutospacing="0" w:line="324" w:lineRule="atLeast"/>
            </w:pPr>
            <w:r>
              <w:t>RF Range</w:t>
            </w:r>
          </w:p>
        </w:tc>
        <w:tc>
          <w:tcPr>
            <w:tcW w:w="4815" w:type="dxa"/>
            <w:shd w:val="clear" w:color="auto" w:fill="auto"/>
            <w:vAlign w:val="center"/>
          </w:tcPr>
          <w:p w14:paraId="2C6F83D9">
            <w:pPr>
              <w:pStyle w:val="6"/>
              <w:widowControl/>
              <w:spacing w:beforeAutospacing="0" w:afterAutospacing="0" w:line="324" w:lineRule="atLeast"/>
            </w:pPr>
            <w:r>
              <w:t>950 ~ 2150 MHz, 10KHz stepping</w:t>
            </w:r>
          </w:p>
        </w:tc>
      </w:tr>
      <w:tr w14:paraId="2F1F74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continue"/>
            <w:shd w:val="clear" w:color="auto" w:fill="auto"/>
            <w:vAlign w:val="center"/>
          </w:tcPr>
          <w:p w14:paraId="3AE7F294">
            <w:pPr>
              <w:jc w:val="left"/>
              <w:rPr>
                <w:rFonts w:ascii="宋体"/>
                <w:sz w:val="24"/>
                <w:szCs w:val="24"/>
              </w:rPr>
            </w:pPr>
          </w:p>
        </w:tc>
        <w:tc>
          <w:tcPr>
            <w:tcW w:w="2700" w:type="dxa"/>
            <w:shd w:val="clear" w:color="auto" w:fill="auto"/>
            <w:vAlign w:val="center"/>
          </w:tcPr>
          <w:p w14:paraId="1DD04142">
            <w:pPr>
              <w:pStyle w:val="6"/>
              <w:widowControl/>
              <w:spacing w:beforeAutospacing="0" w:afterAutospacing="0" w:line="324" w:lineRule="atLeast"/>
            </w:pPr>
            <w:r>
              <w:t>Output Level</w:t>
            </w:r>
          </w:p>
        </w:tc>
        <w:tc>
          <w:tcPr>
            <w:tcW w:w="4815" w:type="dxa"/>
            <w:shd w:val="clear" w:color="auto" w:fill="auto"/>
            <w:vAlign w:val="center"/>
          </w:tcPr>
          <w:p w14:paraId="432B0E69">
            <w:pPr>
              <w:pStyle w:val="6"/>
              <w:widowControl/>
              <w:spacing w:beforeAutospacing="0" w:afterAutospacing="0" w:line="324" w:lineRule="atLeast"/>
            </w:pPr>
            <w:r>
              <w:t>-10.0 dBm~-41.5 dBm,0.5dBm Stepping</w:t>
            </w:r>
          </w:p>
        </w:tc>
      </w:tr>
      <w:tr w14:paraId="1DE01C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continue"/>
            <w:shd w:val="clear" w:color="auto" w:fill="auto"/>
            <w:vAlign w:val="center"/>
          </w:tcPr>
          <w:p w14:paraId="4B24921F">
            <w:pPr>
              <w:jc w:val="left"/>
              <w:rPr>
                <w:rFonts w:ascii="宋体"/>
                <w:sz w:val="24"/>
                <w:szCs w:val="24"/>
              </w:rPr>
            </w:pPr>
          </w:p>
        </w:tc>
        <w:tc>
          <w:tcPr>
            <w:tcW w:w="2700" w:type="dxa"/>
            <w:shd w:val="clear" w:color="auto" w:fill="auto"/>
            <w:vAlign w:val="center"/>
          </w:tcPr>
          <w:p w14:paraId="48DF73BC">
            <w:pPr>
              <w:pStyle w:val="6"/>
              <w:widowControl/>
              <w:spacing w:beforeAutospacing="0" w:afterAutospacing="0" w:line="324" w:lineRule="atLeast"/>
            </w:pPr>
            <w:r>
              <w:t>MER</w:t>
            </w:r>
          </w:p>
        </w:tc>
        <w:tc>
          <w:tcPr>
            <w:tcW w:w="4815" w:type="dxa"/>
            <w:shd w:val="clear" w:color="auto" w:fill="auto"/>
            <w:vAlign w:val="center"/>
          </w:tcPr>
          <w:p w14:paraId="0D54B5F8">
            <w:pPr>
              <w:pStyle w:val="6"/>
              <w:widowControl/>
              <w:spacing w:beforeAutospacing="0" w:afterAutospacing="0" w:line="324" w:lineRule="atLeast"/>
            </w:pPr>
            <w:r>
              <w:t>≥26dB</w:t>
            </w:r>
          </w:p>
        </w:tc>
      </w:tr>
      <w:tr w14:paraId="32FC4E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continue"/>
            <w:shd w:val="clear" w:color="auto" w:fill="auto"/>
            <w:vAlign w:val="center"/>
          </w:tcPr>
          <w:p w14:paraId="1A212FDE">
            <w:pPr>
              <w:jc w:val="left"/>
              <w:rPr>
                <w:rFonts w:ascii="宋体"/>
                <w:sz w:val="24"/>
                <w:szCs w:val="24"/>
              </w:rPr>
            </w:pPr>
          </w:p>
        </w:tc>
        <w:tc>
          <w:tcPr>
            <w:tcW w:w="2700" w:type="dxa"/>
            <w:shd w:val="clear" w:color="auto" w:fill="auto"/>
            <w:vAlign w:val="center"/>
          </w:tcPr>
          <w:p w14:paraId="0DA83641">
            <w:pPr>
              <w:pStyle w:val="6"/>
              <w:widowControl/>
              <w:spacing w:beforeAutospacing="0" w:afterAutospacing="0" w:line="324" w:lineRule="atLeast"/>
            </w:pPr>
            <w:r>
              <w:t>Connector</w:t>
            </w:r>
          </w:p>
        </w:tc>
        <w:tc>
          <w:tcPr>
            <w:tcW w:w="4815" w:type="dxa"/>
            <w:shd w:val="clear" w:color="auto" w:fill="auto"/>
            <w:vAlign w:val="center"/>
          </w:tcPr>
          <w:p w14:paraId="6A9A51CF">
            <w:pPr>
              <w:pStyle w:val="6"/>
              <w:widowControl/>
              <w:spacing w:beforeAutospacing="0" w:afterAutospacing="0" w:line="324" w:lineRule="atLeast"/>
            </w:pPr>
            <w:r>
              <w:t>N type, Impedance 50Ω</w:t>
            </w:r>
          </w:p>
        </w:tc>
      </w:tr>
      <w:tr w14:paraId="71A604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980" w:type="dxa"/>
            <w:vMerge w:val="continue"/>
            <w:shd w:val="clear" w:color="auto" w:fill="auto"/>
            <w:vAlign w:val="center"/>
          </w:tcPr>
          <w:p w14:paraId="77CEFF75">
            <w:pPr>
              <w:jc w:val="left"/>
              <w:rPr>
                <w:rFonts w:ascii="宋体"/>
                <w:sz w:val="24"/>
                <w:szCs w:val="24"/>
              </w:rPr>
            </w:pPr>
          </w:p>
        </w:tc>
        <w:tc>
          <w:tcPr>
            <w:tcW w:w="2700" w:type="dxa"/>
            <w:shd w:val="clear" w:color="auto" w:fill="auto"/>
            <w:vAlign w:val="center"/>
          </w:tcPr>
          <w:p w14:paraId="06200A8E">
            <w:pPr>
              <w:pStyle w:val="6"/>
              <w:widowControl/>
              <w:spacing w:beforeAutospacing="0" w:afterAutospacing="0" w:line="324" w:lineRule="atLeast"/>
            </w:pPr>
            <w:r>
              <w:t>Outer coding</w:t>
            </w:r>
          </w:p>
        </w:tc>
        <w:tc>
          <w:tcPr>
            <w:tcW w:w="4815" w:type="dxa"/>
            <w:shd w:val="clear" w:color="auto" w:fill="auto"/>
            <w:vAlign w:val="center"/>
          </w:tcPr>
          <w:p w14:paraId="249A2F45">
            <w:pPr>
              <w:pStyle w:val="6"/>
              <w:widowControl/>
              <w:spacing w:beforeAutospacing="0" w:afterAutospacing="0" w:line="324" w:lineRule="atLeast"/>
            </w:pPr>
            <w:r>
              <w:t>RS Coding</w:t>
            </w:r>
          </w:p>
        </w:tc>
      </w:tr>
      <w:tr w14:paraId="7C084B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continue"/>
            <w:shd w:val="clear" w:color="auto" w:fill="auto"/>
            <w:vAlign w:val="center"/>
          </w:tcPr>
          <w:p w14:paraId="38D181B9">
            <w:pPr>
              <w:jc w:val="left"/>
              <w:rPr>
                <w:rFonts w:ascii="宋体"/>
                <w:sz w:val="24"/>
                <w:szCs w:val="24"/>
              </w:rPr>
            </w:pPr>
          </w:p>
        </w:tc>
        <w:tc>
          <w:tcPr>
            <w:tcW w:w="2700" w:type="dxa"/>
            <w:shd w:val="clear" w:color="auto" w:fill="auto"/>
            <w:vAlign w:val="center"/>
          </w:tcPr>
          <w:p w14:paraId="59FC50CD">
            <w:pPr>
              <w:pStyle w:val="6"/>
              <w:widowControl/>
              <w:spacing w:beforeAutospacing="0" w:afterAutospacing="0" w:line="324" w:lineRule="atLeast"/>
            </w:pPr>
            <w:r>
              <w:t>Inner coding  </w:t>
            </w:r>
          </w:p>
        </w:tc>
        <w:tc>
          <w:tcPr>
            <w:tcW w:w="4815" w:type="dxa"/>
            <w:shd w:val="clear" w:color="auto" w:fill="auto"/>
            <w:vAlign w:val="center"/>
          </w:tcPr>
          <w:p w14:paraId="014E4AFD">
            <w:pPr>
              <w:pStyle w:val="6"/>
              <w:widowControl/>
              <w:spacing w:beforeAutospacing="0" w:afterAutospacing="0" w:line="324" w:lineRule="atLeast"/>
            </w:pPr>
            <w:r>
              <w:t>Convolution</w:t>
            </w:r>
          </w:p>
        </w:tc>
      </w:tr>
      <w:tr w14:paraId="160ECD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continue"/>
            <w:shd w:val="clear" w:color="auto" w:fill="auto"/>
            <w:vAlign w:val="center"/>
          </w:tcPr>
          <w:p w14:paraId="6E30180E">
            <w:pPr>
              <w:jc w:val="left"/>
              <w:rPr>
                <w:rFonts w:ascii="宋体"/>
                <w:sz w:val="24"/>
                <w:szCs w:val="24"/>
              </w:rPr>
            </w:pPr>
          </w:p>
        </w:tc>
        <w:tc>
          <w:tcPr>
            <w:tcW w:w="2700" w:type="dxa"/>
            <w:shd w:val="clear" w:color="auto" w:fill="auto"/>
            <w:vAlign w:val="center"/>
          </w:tcPr>
          <w:p w14:paraId="575AC0CC">
            <w:pPr>
              <w:pStyle w:val="6"/>
              <w:widowControl/>
              <w:spacing w:beforeAutospacing="0" w:afterAutospacing="0" w:line="324" w:lineRule="atLeast"/>
            </w:pPr>
            <w:r>
              <w:t>Constellation</w:t>
            </w:r>
          </w:p>
        </w:tc>
        <w:tc>
          <w:tcPr>
            <w:tcW w:w="4815" w:type="dxa"/>
            <w:shd w:val="clear" w:color="auto" w:fill="auto"/>
            <w:vAlign w:val="center"/>
          </w:tcPr>
          <w:p w14:paraId="72831762">
            <w:pPr>
              <w:pStyle w:val="6"/>
              <w:widowControl/>
              <w:spacing w:beforeAutospacing="0" w:afterAutospacing="0" w:line="324" w:lineRule="atLeast"/>
            </w:pPr>
            <w:r>
              <w:t>QPSK</w:t>
            </w:r>
          </w:p>
        </w:tc>
      </w:tr>
      <w:tr w14:paraId="2FB1BC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980" w:type="dxa"/>
            <w:vMerge w:val="continue"/>
            <w:shd w:val="clear" w:color="auto" w:fill="auto"/>
            <w:vAlign w:val="center"/>
          </w:tcPr>
          <w:p w14:paraId="0D49D39B">
            <w:pPr>
              <w:jc w:val="left"/>
              <w:rPr>
                <w:rFonts w:ascii="宋体"/>
                <w:sz w:val="24"/>
                <w:szCs w:val="24"/>
              </w:rPr>
            </w:pPr>
          </w:p>
        </w:tc>
        <w:tc>
          <w:tcPr>
            <w:tcW w:w="2700" w:type="dxa"/>
            <w:shd w:val="clear" w:color="auto" w:fill="auto"/>
            <w:vAlign w:val="center"/>
          </w:tcPr>
          <w:p w14:paraId="5BDA52BC">
            <w:pPr>
              <w:pStyle w:val="6"/>
              <w:widowControl/>
              <w:spacing w:beforeAutospacing="0" w:afterAutospacing="0" w:line="324" w:lineRule="atLeast"/>
            </w:pPr>
            <w:r>
              <w:t>FEC/Convolution Rate</w:t>
            </w:r>
          </w:p>
        </w:tc>
        <w:tc>
          <w:tcPr>
            <w:tcW w:w="4815" w:type="dxa"/>
            <w:shd w:val="clear" w:color="auto" w:fill="auto"/>
            <w:vAlign w:val="center"/>
          </w:tcPr>
          <w:p w14:paraId="5875FCD8">
            <w:pPr>
              <w:pStyle w:val="6"/>
              <w:widowControl/>
              <w:spacing w:beforeAutospacing="0" w:afterAutospacing="0" w:line="324" w:lineRule="atLeast"/>
            </w:pPr>
            <w:r>
              <w:t>1/2,2/3, 3/4, 5/6, 7/8</w:t>
            </w:r>
          </w:p>
        </w:tc>
      </w:tr>
      <w:tr w14:paraId="067477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continue"/>
            <w:shd w:val="clear" w:color="auto" w:fill="auto"/>
            <w:vAlign w:val="center"/>
          </w:tcPr>
          <w:p w14:paraId="54AC640D">
            <w:pPr>
              <w:jc w:val="left"/>
              <w:rPr>
                <w:rFonts w:ascii="宋体"/>
                <w:sz w:val="24"/>
                <w:szCs w:val="24"/>
              </w:rPr>
            </w:pPr>
          </w:p>
        </w:tc>
        <w:tc>
          <w:tcPr>
            <w:tcW w:w="2700" w:type="dxa"/>
            <w:shd w:val="clear" w:color="auto" w:fill="auto"/>
            <w:vAlign w:val="center"/>
          </w:tcPr>
          <w:p w14:paraId="2E3EA337">
            <w:pPr>
              <w:pStyle w:val="6"/>
              <w:widowControl/>
              <w:spacing w:beforeAutospacing="0" w:afterAutospacing="0" w:line="324" w:lineRule="atLeast"/>
            </w:pPr>
            <w:r>
              <w:t>Roll-off Factor</w:t>
            </w:r>
          </w:p>
        </w:tc>
        <w:tc>
          <w:tcPr>
            <w:tcW w:w="4815" w:type="dxa"/>
            <w:shd w:val="clear" w:color="auto" w:fill="auto"/>
            <w:vAlign w:val="center"/>
          </w:tcPr>
          <w:p w14:paraId="5BE39917">
            <w:pPr>
              <w:pStyle w:val="6"/>
              <w:widowControl/>
              <w:spacing w:beforeAutospacing="0" w:afterAutospacing="0" w:line="324" w:lineRule="atLeast"/>
            </w:pPr>
            <w:r>
              <w:t>0.35</w:t>
            </w:r>
          </w:p>
        </w:tc>
      </w:tr>
      <w:tr w14:paraId="430FF1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continue"/>
            <w:shd w:val="clear" w:color="auto" w:fill="auto"/>
            <w:vAlign w:val="center"/>
          </w:tcPr>
          <w:p w14:paraId="51FA30D1">
            <w:pPr>
              <w:jc w:val="left"/>
              <w:rPr>
                <w:rFonts w:ascii="宋体"/>
                <w:sz w:val="24"/>
                <w:szCs w:val="24"/>
              </w:rPr>
            </w:pPr>
          </w:p>
        </w:tc>
        <w:tc>
          <w:tcPr>
            <w:tcW w:w="2700" w:type="dxa"/>
            <w:shd w:val="clear" w:color="auto" w:fill="auto"/>
            <w:vAlign w:val="center"/>
          </w:tcPr>
          <w:p w14:paraId="30ED5077">
            <w:pPr>
              <w:pStyle w:val="6"/>
              <w:widowControl/>
              <w:spacing w:beforeAutospacing="0" w:afterAutospacing="0" w:line="324" w:lineRule="atLeast"/>
            </w:pPr>
            <w:r>
              <w:t>Symbol Rate</w:t>
            </w:r>
          </w:p>
        </w:tc>
        <w:tc>
          <w:tcPr>
            <w:tcW w:w="4815" w:type="dxa"/>
            <w:shd w:val="clear" w:color="auto" w:fill="auto"/>
            <w:vAlign w:val="center"/>
          </w:tcPr>
          <w:p w14:paraId="1C64A3D2">
            <w:pPr>
              <w:pStyle w:val="6"/>
              <w:widowControl/>
              <w:spacing w:beforeAutospacing="0" w:afterAutospacing="0" w:line="324" w:lineRule="atLeast"/>
            </w:pPr>
            <w:r>
              <w:t>0.05~45Msps</w:t>
            </w:r>
          </w:p>
        </w:tc>
      </w:tr>
      <w:tr w14:paraId="673A65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980" w:type="dxa"/>
            <w:vMerge w:val="restart"/>
            <w:shd w:val="clear" w:color="auto" w:fill="auto"/>
            <w:vAlign w:val="center"/>
          </w:tcPr>
          <w:p w14:paraId="63BB7FC3">
            <w:pPr>
              <w:pStyle w:val="6"/>
              <w:widowControl/>
              <w:spacing w:beforeAutospacing="0" w:afterAutospacing="0" w:line="324" w:lineRule="atLeast"/>
            </w:pPr>
            <w:r>
              <w:rPr>
                <w:rStyle w:val="10"/>
              </w:rPr>
              <w:t>System</w:t>
            </w:r>
          </w:p>
        </w:tc>
        <w:tc>
          <w:tcPr>
            <w:tcW w:w="7515" w:type="dxa"/>
            <w:gridSpan w:val="2"/>
            <w:shd w:val="clear" w:color="auto" w:fill="auto"/>
            <w:vAlign w:val="center"/>
          </w:tcPr>
          <w:p w14:paraId="343618A1">
            <w:pPr>
              <w:pStyle w:val="6"/>
              <w:widowControl/>
              <w:spacing w:beforeAutospacing="0" w:afterAutospacing="0" w:line="324" w:lineRule="atLeast"/>
            </w:pPr>
            <w:r>
              <w:t>Web-based NMS</w:t>
            </w:r>
          </w:p>
        </w:tc>
      </w:tr>
      <w:tr w14:paraId="6F8B79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980" w:type="dxa"/>
            <w:vMerge w:val="continue"/>
            <w:shd w:val="clear" w:color="auto" w:fill="auto"/>
            <w:vAlign w:val="center"/>
          </w:tcPr>
          <w:p w14:paraId="1C29F492">
            <w:pPr>
              <w:jc w:val="left"/>
              <w:rPr>
                <w:rFonts w:ascii="宋体"/>
                <w:sz w:val="24"/>
                <w:szCs w:val="24"/>
              </w:rPr>
            </w:pPr>
          </w:p>
        </w:tc>
        <w:tc>
          <w:tcPr>
            <w:tcW w:w="7515" w:type="dxa"/>
            <w:gridSpan w:val="2"/>
            <w:shd w:val="clear" w:color="auto" w:fill="auto"/>
            <w:vAlign w:val="center"/>
          </w:tcPr>
          <w:p w14:paraId="763B1787">
            <w:pPr>
              <w:pStyle w:val="6"/>
              <w:widowControl/>
              <w:spacing w:beforeAutospacing="0" w:afterAutospacing="0" w:line="324" w:lineRule="atLeast"/>
            </w:pPr>
            <w:r>
              <w:t>Language: English</w:t>
            </w:r>
          </w:p>
        </w:tc>
      </w:tr>
      <w:tr w14:paraId="72745E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980" w:type="dxa"/>
            <w:vMerge w:val="continue"/>
            <w:shd w:val="clear" w:color="auto" w:fill="auto"/>
            <w:vAlign w:val="center"/>
          </w:tcPr>
          <w:p w14:paraId="7B795D28">
            <w:pPr>
              <w:jc w:val="left"/>
              <w:rPr>
                <w:rFonts w:ascii="宋体"/>
                <w:sz w:val="24"/>
                <w:szCs w:val="24"/>
              </w:rPr>
            </w:pPr>
          </w:p>
        </w:tc>
        <w:tc>
          <w:tcPr>
            <w:tcW w:w="7515" w:type="dxa"/>
            <w:gridSpan w:val="2"/>
            <w:shd w:val="clear" w:color="auto" w:fill="auto"/>
            <w:vAlign w:val="center"/>
          </w:tcPr>
          <w:p w14:paraId="2A5B8116">
            <w:pPr>
              <w:pStyle w:val="6"/>
              <w:widowControl/>
              <w:spacing w:beforeAutospacing="0" w:afterAutospacing="0" w:line="324" w:lineRule="atLeast"/>
            </w:pPr>
            <w:r>
              <w:t>Ethernet software upgrade</w:t>
            </w:r>
          </w:p>
        </w:tc>
      </w:tr>
      <w:tr w14:paraId="3B1CC4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980" w:type="dxa"/>
            <w:vMerge w:val="restart"/>
            <w:shd w:val="clear" w:color="auto" w:fill="auto"/>
            <w:vAlign w:val="center"/>
          </w:tcPr>
          <w:p w14:paraId="2B22F20D">
            <w:pPr>
              <w:pStyle w:val="6"/>
              <w:widowControl/>
              <w:spacing w:beforeAutospacing="0" w:afterAutospacing="0" w:line="324" w:lineRule="atLeast"/>
            </w:pPr>
            <w:r>
              <w:rPr>
                <w:rStyle w:val="10"/>
              </w:rPr>
              <w:t>Miscellaneous </w:t>
            </w:r>
          </w:p>
        </w:tc>
        <w:tc>
          <w:tcPr>
            <w:tcW w:w="2700" w:type="dxa"/>
            <w:shd w:val="clear" w:color="auto" w:fill="auto"/>
            <w:vAlign w:val="center"/>
          </w:tcPr>
          <w:p w14:paraId="08889585">
            <w:pPr>
              <w:pStyle w:val="6"/>
              <w:widowControl/>
              <w:spacing w:beforeAutospacing="0" w:afterAutospacing="0" w:line="324" w:lineRule="atLeast"/>
            </w:pPr>
            <w:r>
              <w:t>Dimension</w:t>
            </w:r>
          </w:p>
        </w:tc>
        <w:tc>
          <w:tcPr>
            <w:tcW w:w="4815" w:type="dxa"/>
            <w:shd w:val="clear" w:color="auto" w:fill="auto"/>
            <w:vAlign w:val="center"/>
          </w:tcPr>
          <w:p w14:paraId="0CC335E6">
            <w:pPr>
              <w:pStyle w:val="6"/>
              <w:widowControl/>
              <w:spacing w:beforeAutospacing="0" w:afterAutospacing="0" w:line="324" w:lineRule="atLeast"/>
            </w:pPr>
            <w:r>
              <w:t>482mm×245mm×44mm (W*D*H)</w:t>
            </w:r>
          </w:p>
        </w:tc>
      </w:tr>
      <w:tr w14:paraId="4DF7EF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continue"/>
            <w:shd w:val="clear" w:color="auto" w:fill="auto"/>
            <w:vAlign w:val="center"/>
          </w:tcPr>
          <w:p w14:paraId="4FA58134">
            <w:pPr>
              <w:jc w:val="left"/>
              <w:rPr>
                <w:rFonts w:ascii="宋体"/>
                <w:sz w:val="24"/>
                <w:szCs w:val="24"/>
              </w:rPr>
            </w:pPr>
          </w:p>
        </w:tc>
        <w:tc>
          <w:tcPr>
            <w:tcW w:w="2700" w:type="dxa"/>
            <w:shd w:val="clear" w:color="auto" w:fill="auto"/>
            <w:vAlign w:val="center"/>
          </w:tcPr>
          <w:p w14:paraId="0A24EA9C">
            <w:pPr>
              <w:pStyle w:val="6"/>
              <w:widowControl/>
              <w:spacing w:beforeAutospacing="0" w:afterAutospacing="0" w:line="324" w:lineRule="atLeast"/>
            </w:pPr>
            <w:r>
              <w:t>Temperature</w:t>
            </w:r>
          </w:p>
        </w:tc>
        <w:tc>
          <w:tcPr>
            <w:tcW w:w="4815" w:type="dxa"/>
            <w:shd w:val="clear" w:color="auto" w:fill="auto"/>
            <w:vAlign w:val="center"/>
          </w:tcPr>
          <w:p w14:paraId="6533D25C">
            <w:pPr>
              <w:pStyle w:val="6"/>
              <w:widowControl/>
              <w:spacing w:beforeAutospacing="0" w:afterAutospacing="0" w:line="324" w:lineRule="atLeast"/>
            </w:pPr>
            <w:r>
              <w:t>0~45℃(operation), -20~80℃ (storage)</w:t>
            </w:r>
          </w:p>
        </w:tc>
      </w:tr>
      <w:tr w14:paraId="60CCB2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vMerge w:val="continue"/>
            <w:shd w:val="clear" w:color="auto" w:fill="auto"/>
            <w:vAlign w:val="center"/>
          </w:tcPr>
          <w:p w14:paraId="5E1B6B80">
            <w:pPr>
              <w:jc w:val="left"/>
              <w:rPr>
                <w:rFonts w:ascii="宋体"/>
                <w:sz w:val="24"/>
                <w:szCs w:val="24"/>
              </w:rPr>
            </w:pPr>
          </w:p>
        </w:tc>
        <w:tc>
          <w:tcPr>
            <w:tcW w:w="2700" w:type="dxa"/>
            <w:shd w:val="clear" w:color="auto" w:fill="auto"/>
            <w:vAlign w:val="center"/>
          </w:tcPr>
          <w:p w14:paraId="38DA0D4D">
            <w:pPr>
              <w:pStyle w:val="6"/>
              <w:widowControl/>
              <w:spacing w:beforeAutospacing="0" w:afterAutospacing="0" w:line="324" w:lineRule="atLeast"/>
            </w:pPr>
            <w:r>
              <w:t>Power</w:t>
            </w:r>
          </w:p>
        </w:tc>
        <w:tc>
          <w:tcPr>
            <w:tcW w:w="4815" w:type="dxa"/>
            <w:shd w:val="clear" w:color="auto" w:fill="auto"/>
            <w:vAlign w:val="center"/>
          </w:tcPr>
          <w:p w14:paraId="06064341">
            <w:pPr>
              <w:pStyle w:val="6"/>
              <w:widowControl/>
              <w:spacing w:beforeAutospacing="0" w:afterAutospacing="0" w:line="324" w:lineRule="atLeast"/>
            </w:pPr>
            <w:r>
              <w:t>AC 100-240V, 50Hz-60Hz 2A</w:t>
            </w:r>
          </w:p>
        </w:tc>
      </w:tr>
    </w:tbl>
    <w:p w14:paraId="6F7EFBB7">
      <w:pPr>
        <w:pStyle w:val="6"/>
        <w:widowControl/>
        <w:spacing w:beforeAutospacing="0" w:afterAutospacing="0" w:line="324" w:lineRule="atLeast"/>
      </w:pPr>
      <w:r>
        <w:rPr>
          <w:rFonts w:ascii="Verdana" w:hAnsi="Verdana" w:cs="Verdana"/>
          <w:color w:val="333333"/>
          <w:sz w:val="18"/>
          <w:szCs w:val="18"/>
          <w:shd w:val="clear" w:color="auto" w:fill="FEFCFD"/>
        </w:rPr>
        <w:t> </w:t>
      </w:r>
    </w:p>
    <w:p w14:paraId="1DFE4057">
      <w:pPr>
        <w:pStyle w:val="6"/>
        <w:widowControl/>
        <w:spacing w:beforeAutospacing="0" w:afterAutospacing="0" w:line="324" w:lineRule="atLeast"/>
      </w:pPr>
      <w:r>
        <w:rPr>
          <w:rFonts w:ascii="Verdana" w:hAnsi="Verdana" w:cs="Verdana"/>
          <w:color w:val="333333"/>
          <w:sz w:val="18"/>
          <w:szCs w:val="18"/>
          <w:shd w:val="clear" w:color="auto" w:fill="FEFCFD"/>
        </w:rPr>
        <w:t> </w:t>
      </w:r>
    </w:p>
    <w:p w14:paraId="3A468321">
      <w:pPr>
        <w:widowControl/>
        <w:shd w:val="clear" w:color="auto" w:fill="F2F2F4"/>
        <w:jc w:val="left"/>
        <w:rPr>
          <w:rFonts w:ascii="Verdana" w:hAnsi="Verdana" w:cs="Verdana"/>
          <w:color w:val="333333"/>
          <w:sz w:val="18"/>
          <w:szCs w:val="18"/>
        </w:rPr>
      </w:pPr>
    </w:p>
    <w:p w14:paraId="46C223C4">
      <w:pPr>
        <w:rPr>
          <w:rFonts w:ascii="Verdana" w:hAnsi="Verdana" w:cs="Verdana"/>
          <w:color w:val="000000"/>
          <w:sz w:val="28"/>
        </w:rPr>
      </w:pPr>
    </w:p>
    <w:p w14:paraId="2462456A">
      <w:pPr>
        <w:rPr>
          <w:rFonts w:ascii="Verdana" w:hAnsi="Verdana" w:cs="Verdana"/>
          <w:b/>
          <w:color w:val="000000"/>
          <w:sz w:val="22"/>
        </w:rPr>
      </w:pPr>
      <w:r>
        <w:rPr>
          <w:rFonts w:hint="eastAsia" w:ascii="Verdana" w:hAnsi="Verdana" w:cs="Verdana"/>
          <w:b/>
          <w:color w:val="000000"/>
          <w:sz w:val="22"/>
        </w:rPr>
        <w:t>About Us</w:t>
      </w:r>
    </w:p>
    <w:p w14:paraId="173CE016">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D424B16">
      <w:pPr>
        <w:rPr>
          <w:rFonts w:ascii="Verdana" w:hAnsi="Verdana" w:cs="Verdana"/>
          <w:color w:val="000000"/>
          <w:sz w:val="18"/>
        </w:rPr>
      </w:pPr>
    </w:p>
    <w:p w14:paraId="2245042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A65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22D7F2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F70C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8784D"/>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C5F45"/>
    <w:rsid w:val="00BD4043"/>
    <w:rsid w:val="00C44FAF"/>
    <w:rsid w:val="00D24477"/>
    <w:rsid w:val="00F268A0"/>
    <w:rsid w:val="00F714FF"/>
    <w:rsid w:val="00F7593F"/>
    <w:rsid w:val="00FC60FC"/>
    <w:rsid w:val="033D434A"/>
    <w:rsid w:val="0A0935A4"/>
    <w:rsid w:val="0A680B1B"/>
    <w:rsid w:val="0E714EC9"/>
    <w:rsid w:val="0FC87CEA"/>
    <w:rsid w:val="101C4557"/>
    <w:rsid w:val="13D25EDD"/>
    <w:rsid w:val="15C25510"/>
    <w:rsid w:val="18AE427D"/>
    <w:rsid w:val="18E81EA3"/>
    <w:rsid w:val="19651747"/>
    <w:rsid w:val="1B935F7D"/>
    <w:rsid w:val="1B96274F"/>
    <w:rsid w:val="1B974A15"/>
    <w:rsid w:val="1CDC4CA0"/>
    <w:rsid w:val="1FCC39C5"/>
    <w:rsid w:val="20F61905"/>
    <w:rsid w:val="2199682E"/>
    <w:rsid w:val="239E3C7B"/>
    <w:rsid w:val="27B55639"/>
    <w:rsid w:val="2A752F8B"/>
    <w:rsid w:val="2C665CEA"/>
    <w:rsid w:val="2E0F6BE8"/>
    <w:rsid w:val="2E40579B"/>
    <w:rsid w:val="30EC6A7F"/>
    <w:rsid w:val="314F3E41"/>
    <w:rsid w:val="389D3862"/>
    <w:rsid w:val="38CB0EF5"/>
    <w:rsid w:val="3B533162"/>
    <w:rsid w:val="3C127EB4"/>
    <w:rsid w:val="45872050"/>
    <w:rsid w:val="478E224E"/>
    <w:rsid w:val="478F6C36"/>
    <w:rsid w:val="485E04E5"/>
    <w:rsid w:val="487316FE"/>
    <w:rsid w:val="49B75FAC"/>
    <w:rsid w:val="4E4A4BF6"/>
    <w:rsid w:val="4F8D25ED"/>
    <w:rsid w:val="51AD130D"/>
    <w:rsid w:val="540A3FAB"/>
    <w:rsid w:val="562E484B"/>
    <w:rsid w:val="56834992"/>
    <w:rsid w:val="571526B6"/>
    <w:rsid w:val="5930748A"/>
    <w:rsid w:val="59933671"/>
    <w:rsid w:val="5AA83521"/>
    <w:rsid w:val="5E791A68"/>
    <w:rsid w:val="5EEA5249"/>
    <w:rsid w:val="609213A6"/>
    <w:rsid w:val="61BA6334"/>
    <w:rsid w:val="63C27F07"/>
    <w:rsid w:val="68AD6386"/>
    <w:rsid w:val="6D7A6503"/>
    <w:rsid w:val="70757613"/>
    <w:rsid w:val="70B756B4"/>
    <w:rsid w:val="73270F88"/>
    <w:rsid w:val="73B564EE"/>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401D/3EEECN_20180425033214.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229</Words>
  <Characters>1448</Characters>
  <Lines>12</Lines>
  <Paragraphs>3</Paragraphs>
  <TotalTime>0</TotalTime>
  <ScaleCrop>false</ScaleCrop>
  <LinksUpToDate>false</LinksUpToDate>
  <CharactersWithSpaces>1653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2025-08-20T03:38:17Z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