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F81DD">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FUQ-4618Px Modular IP to ASI Gateway 512 SPTS-MPTS Input UDP-RTP Output DVB-ASI Dual Gigabit Ethernet PSI-SI Editing Broadcast Headends CATV</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Systems </w:t>
      </w:r>
      <w:bookmarkStart w:id="0" w:name="_GoBack"/>
      <w:r>
        <w:rPr>
          <w:rFonts w:ascii="Verdana" w:hAnsi="Verdana" w:cs="Verdana"/>
          <w:color w:val="000000"/>
          <w:sz w:val="28"/>
        </w:rPr>
        <w:drawing>
          <wp:inline distT="0" distB="0" distL="114300" distR="114300">
            <wp:extent cx="6187440" cy="2399030"/>
            <wp:effectExtent l="0" t="0" r="3810" b="0"/>
            <wp:docPr id="1" name="图片 1" descr="3EEECN_20240729110550"/>
            <wp:cNvGraphicFramePr/>
            <a:graphic xmlns:a="http://schemas.openxmlformats.org/drawingml/2006/main">
              <a:graphicData uri="http://schemas.openxmlformats.org/drawingml/2006/picture">
                <pic:pic xmlns:pic="http://schemas.openxmlformats.org/drawingml/2006/picture">
                  <pic:nvPicPr>
                    <pic:cNvPr id="1" name="图片 1" descr="3EEECN_20240729110550"/>
                    <pic:cNvPicPr/>
                  </pic:nvPicPr>
                  <pic:blipFill>
                    <a:blip r:embed="rId6"/>
                    <a:stretch>
                      <a:fillRect/>
                    </a:stretch>
                  </pic:blipFill>
                  <pic:spPr>
                    <a:xfrm>
                      <a:off x="0" y="0"/>
                      <a:ext cx="6187440" cy="2399030"/>
                    </a:xfrm>
                    <a:prstGeom prst="rect">
                      <a:avLst/>
                    </a:prstGeom>
                  </pic:spPr>
                </pic:pic>
              </a:graphicData>
            </a:graphic>
          </wp:inline>
        </w:drawing>
      </w:r>
      <w:bookmarkEnd w:id="0"/>
      <w:r>
        <w:rPr>
          <w:rStyle w:val="10"/>
          <w:rFonts w:hint="eastAsia" w:ascii="Verdana" w:hAnsi="Verdana" w:cs="Verdana"/>
          <w:color w:val="333333"/>
          <w:sz w:val="21"/>
          <w:szCs w:val="21"/>
          <w:shd w:val="clear" w:color="auto" w:fill="FEFCFD"/>
          <w:lang w:eastAsia="zh-CN"/>
        </w:rPr>
        <w:t>Product overview</w:t>
      </w:r>
    </w:p>
    <w:p w14:paraId="6E4B8234">
      <w:pPr>
        <w:pStyle w:val="6"/>
        <w:widowControl/>
        <w:spacing w:beforeAutospacing="0" w:afterAutospacing="0" w:line="324" w:lineRule="atLeast"/>
      </w:pPr>
      <w:r>
        <w:rPr>
          <w:rFonts w:hint="eastAsia"/>
        </w:rPr>
        <w:t>The FMUSER FUQ-4618Px is a 1U modular IP Gateway converting IP streams to DVB-ASI via 3 hot-swappable cards. Each card processes 512 SPTS/MPTS streams through UDP/RTP with CA filtering and PCR correction. Features dual Gigabit Ethernet ports (1 input + 1 output) and web-based PSI/SI editing. Ideal for broadcast headends, CATV systems, and IP contribution networks requiring high-density conversion.</w:t>
      </w:r>
    </w:p>
    <w:p w14:paraId="0886DE51">
      <w:pPr>
        <w:pStyle w:val="6"/>
        <w:widowControl/>
        <w:spacing w:beforeAutospacing="0" w:afterAutospacing="0" w:line="324" w:lineRule="atLeast"/>
      </w:pPr>
      <w:r>
        <w:rPr>
          <w:rFonts w:ascii="Verdana" w:hAnsi="Verdana" w:cs="Verdana"/>
          <w:color w:val="333333"/>
          <w:sz w:val="18"/>
          <w:szCs w:val="18"/>
          <w:shd w:val="clear" w:color="auto" w:fill="FEFCFD"/>
        </w:rPr>
        <w:t> </w:t>
      </w:r>
    </w:p>
    <w:p w14:paraId="06F506F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7C26A108">
      <w:pPr>
        <w:pStyle w:val="6"/>
        <w:widowControl/>
        <w:spacing w:beforeAutospacing="0" w:afterAutospacing="0" w:line="324" w:lineRule="atLeast"/>
      </w:pPr>
      <w:r>
        <w:rPr>
          <w:rFonts w:hint="eastAsia" w:ascii="Verdana" w:hAnsi="Verdana" w:cs="Verdana"/>
          <w:color w:val="333333"/>
          <w:sz w:val="18"/>
          <w:szCs w:val="18"/>
          <w:shd w:val="clear" w:color="auto" w:fill="FEFCFD"/>
        </w:rPr>
        <w:t>Low 20W power consumption with 0-45°C operating temperature range</w:t>
      </w:r>
      <w:r>
        <w:rPr>
          <w:rFonts w:ascii="Verdana" w:hAnsi="Verdana" w:cs="Verdana"/>
          <w:color w:val="333333"/>
          <w:sz w:val="18"/>
          <w:szCs w:val="18"/>
          <w:shd w:val="clear" w:color="auto" w:fill="FEFCFD"/>
        </w:rPr>
        <w:t> </w:t>
      </w:r>
    </w:p>
    <w:p w14:paraId="7B871A58">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55"/>
        <w:gridCol w:w="2331"/>
        <w:gridCol w:w="5564"/>
      </w:tblGrid>
      <w:tr w14:paraId="3BD8DF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695" w:type="dxa"/>
            <w:shd w:val="clear" w:color="auto" w:fill="auto"/>
            <w:vAlign w:val="center"/>
          </w:tcPr>
          <w:p w14:paraId="1807A5BC">
            <w:pPr>
              <w:pStyle w:val="6"/>
              <w:widowControl/>
              <w:spacing w:beforeAutospacing="0" w:afterAutospacing="0" w:line="324" w:lineRule="atLeast"/>
            </w:pPr>
            <w:r>
              <w:t>Input</w:t>
            </w:r>
          </w:p>
        </w:tc>
        <w:tc>
          <w:tcPr>
            <w:tcW w:w="7200" w:type="dxa"/>
            <w:gridSpan w:val="2"/>
            <w:shd w:val="clear" w:color="auto" w:fill="auto"/>
            <w:vAlign w:val="center"/>
          </w:tcPr>
          <w:p w14:paraId="10698B25">
            <w:pPr>
              <w:pStyle w:val="6"/>
              <w:widowControl/>
              <w:spacing w:beforeAutospacing="0" w:afterAutospacing="0" w:line="324" w:lineRule="atLeast"/>
            </w:pPr>
            <w:r>
              <w:t>512 SPTS or MPTS IP input over UDP, RTP, Unicast and Multicast (per card)</w:t>
            </w:r>
          </w:p>
        </w:tc>
      </w:tr>
      <w:tr w14:paraId="17B099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shd w:val="clear" w:color="auto" w:fill="auto"/>
            <w:vAlign w:val="center"/>
          </w:tcPr>
          <w:p w14:paraId="2D581711">
            <w:pPr>
              <w:pStyle w:val="6"/>
              <w:widowControl/>
              <w:spacing w:beforeAutospacing="0" w:afterAutospacing="0" w:line="324" w:lineRule="atLeast"/>
            </w:pPr>
            <w:r>
              <w:t>Output</w:t>
            </w:r>
          </w:p>
        </w:tc>
        <w:tc>
          <w:tcPr>
            <w:tcW w:w="7200" w:type="dxa"/>
            <w:gridSpan w:val="2"/>
            <w:shd w:val="clear" w:color="auto" w:fill="auto"/>
            <w:vAlign w:val="center"/>
          </w:tcPr>
          <w:p w14:paraId="1FDD8BBC">
            <w:pPr>
              <w:pStyle w:val="6"/>
              <w:widowControl/>
              <w:spacing w:beforeAutospacing="0" w:afterAutospacing="0" w:line="324" w:lineRule="atLeast"/>
            </w:pPr>
            <w:r>
              <w:t>512 SPTS IP output UDP, RTP, Unicast and Multicast (per card)</w:t>
            </w:r>
          </w:p>
        </w:tc>
      </w:tr>
      <w:tr w14:paraId="645207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restart"/>
            <w:shd w:val="clear" w:color="auto" w:fill="auto"/>
            <w:vAlign w:val="center"/>
          </w:tcPr>
          <w:p w14:paraId="5112BE34">
            <w:pPr>
              <w:pStyle w:val="6"/>
              <w:widowControl/>
              <w:spacing w:beforeAutospacing="0" w:afterAutospacing="0" w:line="324" w:lineRule="atLeast"/>
            </w:pPr>
            <w:r>
              <w:t>Multiplexing</w:t>
            </w:r>
          </w:p>
        </w:tc>
        <w:tc>
          <w:tcPr>
            <w:tcW w:w="7200" w:type="dxa"/>
            <w:gridSpan w:val="2"/>
            <w:shd w:val="clear" w:color="auto" w:fill="auto"/>
            <w:vAlign w:val="center"/>
          </w:tcPr>
          <w:p w14:paraId="67502CF8">
            <w:pPr>
              <w:pStyle w:val="6"/>
              <w:widowControl/>
              <w:spacing w:beforeAutospacing="0" w:afterAutospacing="0" w:line="324" w:lineRule="atLeast"/>
            </w:pPr>
            <w:r>
              <w:t>Support CA PID filtering, PID re-mapping</w:t>
            </w:r>
          </w:p>
        </w:tc>
      </w:tr>
      <w:tr w14:paraId="3B30A8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continue"/>
            <w:shd w:val="clear" w:color="auto" w:fill="auto"/>
            <w:vAlign w:val="center"/>
          </w:tcPr>
          <w:p w14:paraId="05ADF28A">
            <w:pPr>
              <w:jc w:val="left"/>
              <w:rPr>
                <w:rFonts w:ascii="宋体"/>
                <w:sz w:val="24"/>
                <w:szCs w:val="24"/>
              </w:rPr>
            </w:pPr>
          </w:p>
        </w:tc>
        <w:tc>
          <w:tcPr>
            <w:tcW w:w="7200" w:type="dxa"/>
            <w:gridSpan w:val="2"/>
            <w:shd w:val="clear" w:color="auto" w:fill="auto"/>
            <w:vAlign w:val="center"/>
          </w:tcPr>
          <w:p w14:paraId="28C26648">
            <w:pPr>
              <w:pStyle w:val="6"/>
              <w:widowControl/>
              <w:spacing w:beforeAutospacing="0" w:afterAutospacing="0" w:line="324" w:lineRule="atLeast"/>
            </w:pPr>
            <w:r>
              <w:t>Support accurate PCR adjusting</w:t>
            </w:r>
          </w:p>
        </w:tc>
      </w:tr>
      <w:tr w14:paraId="13F23A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745AFF91">
            <w:pPr>
              <w:jc w:val="left"/>
              <w:rPr>
                <w:rFonts w:ascii="宋体"/>
                <w:sz w:val="24"/>
                <w:szCs w:val="24"/>
              </w:rPr>
            </w:pPr>
          </w:p>
        </w:tc>
        <w:tc>
          <w:tcPr>
            <w:tcW w:w="7200" w:type="dxa"/>
            <w:gridSpan w:val="2"/>
            <w:shd w:val="clear" w:color="auto" w:fill="auto"/>
            <w:vAlign w:val="center"/>
          </w:tcPr>
          <w:p w14:paraId="6E0EE5CC">
            <w:pPr>
              <w:pStyle w:val="6"/>
              <w:widowControl/>
              <w:spacing w:beforeAutospacing="0" w:afterAutospacing="0" w:line="324" w:lineRule="atLeast"/>
            </w:pPr>
            <w:r>
              <w:t>Support PSI/SI rebuilding and editing</w:t>
            </w:r>
          </w:p>
        </w:tc>
      </w:tr>
      <w:tr w14:paraId="0761F0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0B910244">
            <w:pPr>
              <w:pStyle w:val="6"/>
              <w:widowControl/>
              <w:spacing w:beforeAutospacing="0" w:afterAutospacing="0" w:line="324" w:lineRule="atLeast"/>
            </w:pPr>
            <w:r>
              <w:t>General</w:t>
            </w:r>
          </w:p>
        </w:tc>
        <w:tc>
          <w:tcPr>
            <w:tcW w:w="2130" w:type="dxa"/>
            <w:shd w:val="clear" w:color="auto" w:fill="auto"/>
            <w:vAlign w:val="center"/>
          </w:tcPr>
          <w:p w14:paraId="5EB93E48">
            <w:pPr>
              <w:pStyle w:val="6"/>
              <w:widowControl/>
              <w:spacing w:beforeAutospacing="0" w:afterAutospacing="0" w:line="324" w:lineRule="atLeast"/>
            </w:pPr>
            <w:r>
              <w:t>Dimension(WxLxH)</w:t>
            </w:r>
          </w:p>
        </w:tc>
        <w:tc>
          <w:tcPr>
            <w:tcW w:w="5085" w:type="dxa"/>
            <w:shd w:val="clear" w:color="auto" w:fill="auto"/>
            <w:vAlign w:val="center"/>
          </w:tcPr>
          <w:p w14:paraId="2F892F58">
            <w:pPr>
              <w:pStyle w:val="6"/>
              <w:widowControl/>
              <w:spacing w:beforeAutospacing="0" w:afterAutospacing="0" w:line="324" w:lineRule="atLeast"/>
            </w:pPr>
            <w:r>
              <w:t>482mm×410mm×44mm</w:t>
            </w:r>
          </w:p>
        </w:tc>
      </w:tr>
      <w:tr w14:paraId="478E0D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58B41D40">
            <w:pPr>
              <w:jc w:val="left"/>
              <w:rPr>
                <w:rFonts w:ascii="宋体"/>
                <w:sz w:val="24"/>
                <w:szCs w:val="24"/>
              </w:rPr>
            </w:pPr>
          </w:p>
        </w:tc>
        <w:tc>
          <w:tcPr>
            <w:tcW w:w="2130" w:type="dxa"/>
            <w:shd w:val="clear" w:color="auto" w:fill="auto"/>
            <w:vAlign w:val="center"/>
          </w:tcPr>
          <w:p w14:paraId="3269A705">
            <w:pPr>
              <w:pStyle w:val="6"/>
              <w:widowControl/>
              <w:spacing w:beforeAutospacing="0" w:afterAutospacing="0" w:line="324" w:lineRule="atLeast"/>
            </w:pPr>
            <w:r>
              <w:t>Weight</w:t>
            </w:r>
          </w:p>
        </w:tc>
        <w:tc>
          <w:tcPr>
            <w:tcW w:w="5085" w:type="dxa"/>
            <w:shd w:val="clear" w:color="auto" w:fill="auto"/>
            <w:vAlign w:val="center"/>
          </w:tcPr>
          <w:p w14:paraId="2555BA8F">
            <w:pPr>
              <w:pStyle w:val="6"/>
              <w:widowControl/>
              <w:spacing w:beforeAutospacing="0" w:afterAutospacing="0" w:line="324" w:lineRule="atLeast"/>
            </w:pPr>
            <w:r>
              <w:t>3.6kg</w:t>
            </w:r>
          </w:p>
        </w:tc>
      </w:tr>
      <w:tr w14:paraId="3EEDA7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1A197F0">
            <w:pPr>
              <w:jc w:val="left"/>
              <w:rPr>
                <w:rFonts w:ascii="宋体"/>
                <w:sz w:val="24"/>
                <w:szCs w:val="24"/>
              </w:rPr>
            </w:pPr>
          </w:p>
        </w:tc>
        <w:tc>
          <w:tcPr>
            <w:tcW w:w="2130" w:type="dxa"/>
            <w:shd w:val="clear" w:color="auto" w:fill="auto"/>
            <w:vAlign w:val="center"/>
          </w:tcPr>
          <w:p w14:paraId="3EBC7FE1">
            <w:pPr>
              <w:pStyle w:val="6"/>
              <w:widowControl/>
              <w:spacing w:beforeAutospacing="0" w:afterAutospacing="0" w:line="324" w:lineRule="atLeast"/>
            </w:pPr>
            <w:r>
              <w:t>Temperature</w:t>
            </w:r>
          </w:p>
        </w:tc>
        <w:tc>
          <w:tcPr>
            <w:tcW w:w="5085" w:type="dxa"/>
            <w:shd w:val="clear" w:color="auto" w:fill="auto"/>
            <w:vAlign w:val="center"/>
          </w:tcPr>
          <w:p w14:paraId="71A04328">
            <w:pPr>
              <w:pStyle w:val="6"/>
              <w:widowControl/>
              <w:spacing w:beforeAutospacing="0" w:afterAutospacing="0" w:line="324" w:lineRule="atLeast"/>
            </w:pPr>
            <w:r>
              <w:t>0~45℃(working )，-20~80℃(storage)</w:t>
            </w:r>
          </w:p>
        </w:tc>
      </w:tr>
      <w:tr w14:paraId="251B97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7E3F4D80">
            <w:pPr>
              <w:jc w:val="left"/>
              <w:rPr>
                <w:rFonts w:ascii="宋体"/>
                <w:sz w:val="24"/>
                <w:szCs w:val="24"/>
              </w:rPr>
            </w:pPr>
          </w:p>
        </w:tc>
        <w:tc>
          <w:tcPr>
            <w:tcW w:w="2130" w:type="dxa"/>
            <w:shd w:val="clear" w:color="auto" w:fill="auto"/>
            <w:vAlign w:val="center"/>
          </w:tcPr>
          <w:p w14:paraId="75FC2E05">
            <w:pPr>
              <w:pStyle w:val="6"/>
              <w:widowControl/>
              <w:spacing w:beforeAutospacing="0" w:afterAutospacing="0" w:line="324" w:lineRule="atLeast"/>
            </w:pPr>
            <w:r>
              <w:t>Power supply</w:t>
            </w:r>
          </w:p>
        </w:tc>
        <w:tc>
          <w:tcPr>
            <w:tcW w:w="5085" w:type="dxa"/>
            <w:shd w:val="clear" w:color="auto" w:fill="auto"/>
            <w:vAlign w:val="center"/>
          </w:tcPr>
          <w:p w14:paraId="52023BE5">
            <w:pPr>
              <w:pStyle w:val="6"/>
              <w:widowControl/>
              <w:spacing w:beforeAutospacing="0" w:afterAutospacing="0" w:line="324" w:lineRule="atLeast"/>
            </w:pPr>
            <w:r>
              <w:t>100~240VAC，50/60Hz</w:t>
            </w:r>
          </w:p>
        </w:tc>
      </w:tr>
      <w:tr w14:paraId="160602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103AA3D8">
            <w:pPr>
              <w:jc w:val="left"/>
              <w:rPr>
                <w:rFonts w:ascii="宋体"/>
                <w:sz w:val="24"/>
                <w:szCs w:val="24"/>
              </w:rPr>
            </w:pPr>
          </w:p>
        </w:tc>
        <w:tc>
          <w:tcPr>
            <w:tcW w:w="2130" w:type="dxa"/>
            <w:shd w:val="clear" w:color="auto" w:fill="auto"/>
            <w:vAlign w:val="center"/>
          </w:tcPr>
          <w:p w14:paraId="1F79970D">
            <w:pPr>
              <w:pStyle w:val="6"/>
              <w:widowControl/>
              <w:spacing w:beforeAutospacing="0" w:afterAutospacing="0" w:line="324" w:lineRule="atLeast"/>
            </w:pPr>
            <w:r>
              <w:t>consumption</w:t>
            </w:r>
          </w:p>
        </w:tc>
        <w:tc>
          <w:tcPr>
            <w:tcW w:w="5085" w:type="dxa"/>
            <w:shd w:val="clear" w:color="auto" w:fill="auto"/>
            <w:vAlign w:val="center"/>
          </w:tcPr>
          <w:p w14:paraId="3C4FB3EA">
            <w:pPr>
              <w:pStyle w:val="6"/>
              <w:widowControl/>
              <w:spacing w:beforeAutospacing="0" w:afterAutospacing="0" w:line="324" w:lineRule="atLeast"/>
            </w:pPr>
            <w:r>
              <w:t>20W</w:t>
            </w:r>
          </w:p>
        </w:tc>
      </w:tr>
    </w:tbl>
    <w:p w14:paraId="79459246">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02404451">
      <w:pPr>
        <w:pStyle w:val="6"/>
        <w:widowControl/>
        <w:spacing w:beforeAutospacing="0" w:afterAutospacing="0" w:line="324" w:lineRule="atLeast"/>
      </w:pPr>
      <w:r>
        <w:rPr>
          <w:rStyle w:val="10"/>
          <w:rFonts w:ascii="Verdana" w:hAnsi="Verdana" w:cs="Verdana"/>
          <w:color w:val="333333"/>
          <w:sz w:val="21"/>
          <w:szCs w:val="21"/>
          <w:shd w:val="clear" w:color="auto" w:fill="FEFCFD"/>
        </w:rPr>
        <w:t>Working Principle (per daughter card)</w:t>
      </w:r>
    </w:p>
    <w:p w14:paraId="6A4080C4">
      <w:pPr>
        <w:pStyle w:val="6"/>
        <w:widowControl/>
        <w:spacing w:beforeAutospacing="0" w:afterAutospacing="0" w:line="324" w:lineRule="atLeast"/>
      </w:pPr>
      <w:r>
        <w:rPr>
          <w:rFonts w:ascii="Verdana" w:hAnsi="Verdana" w:cs="Verdana"/>
          <w:color w:val="333333"/>
          <w:sz w:val="18"/>
          <w:szCs w:val="18"/>
          <w:shd w:val="clear" w:color="auto" w:fill="FEFCFD"/>
        </w:rPr>
        <w:t> </w:t>
      </w:r>
    </w:p>
    <w:p w14:paraId="3A79933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34100" cy="3533775"/>
            <wp:effectExtent l="0" t="0" r="0"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34100" cy="3533775"/>
                    </a:xfrm>
                    <a:prstGeom prst="rect">
                      <a:avLst/>
                    </a:prstGeom>
                    <a:noFill/>
                    <a:ln w="9525">
                      <a:noFill/>
                    </a:ln>
                  </pic:spPr>
                </pic:pic>
              </a:graphicData>
            </a:graphic>
          </wp:inline>
        </w:drawing>
      </w:r>
    </w:p>
    <w:p w14:paraId="2038A307">
      <w:pPr>
        <w:widowControl/>
        <w:shd w:val="clear" w:color="auto" w:fill="F2F2F4"/>
        <w:jc w:val="left"/>
        <w:rPr>
          <w:rFonts w:ascii="Verdana" w:hAnsi="Verdana" w:cs="Verdana"/>
          <w:color w:val="333333"/>
          <w:sz w:val="18"/>
          <w:szCs w:val="18"/>
        </w:rPr>
      </w:pPr>
    </w:p>
    <w:p w14:paraId="30F14441">
      <w:pPr>
        <w:rPr>
          <w:rFonts w:ascii="Verdana" w:hAnsi="Verdana" w:cs="Verdana"/>
          <w:color w:val="000000"/>
          <w:sz w:val="28"/>
        </w:rPr>
      </w:pPr>
    </w:p>
    <w:p w14:paraId="7A896B6C">
      <w:pPr>
        <w:rPr>
          <w:rFonts w:ascii="Verdana" w:hAnsi="Verdana" w:cs="Verdana"/>
          <w:b/>
          <w:color w:val="000000"/>
          <w:sz w:val="22"/>
        </w:rPr>
      </w:pPr>
      <w:r>
        <w:rPr>
          <w:rFonts w:hint="eastAsia" w:ascii="Verdana" w:hAnsi="Verdana" w:cs="Verdana"/>
          <w:b/>
          <w:color w:val="000000"/>
          <w:sz w:val="22"/>
        </w:rPr>
        <w:t>About Us</w:t>
      </w:r>
    </w:p>
    <w:p w14:paraId="5997354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D06BBDA">
      <w:pPr>
        <w:rPr>
          <w:rFonts w:ascii="Verdana" w:hAnsi="Verdana" w:cs="Verdana"/>
          <w:color w:val="000000"/>
          <w:sz w:val="18"/>
        </w:rPr>
      </w:pPr>
    </w:p>
    <w:p w14:paraId="26F0724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7498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419F0A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8891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01BFC"/>
    <w:rsid w:val="00020F1A"/>
    <w:rsid w:val="0004363E"/>
    <w:rsid w:val="00070A47"/>
    <w:rsid w:val="000C61CB"/>
    <w:rsid w:val="001D0C80"/>
    <w:rsid w:val="001E63E5"/>
    <w:rsid w:val="00215238"/>
    <w:rsid w:val="00227839"/>
    <w:rsid w:val="00270F98"/>
    <w:rsid w:val="00356A0C"/>
    <w:rsid w:val="003743F3"/>
    <w:rsid w:val="003C0442"/>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C347EC"/>
    <w:rsid w:val="033D434A"/>
    <w:rsid w:val="0A680B1B"/>
    <w:rsid w:val="0CEE2128"/>
    <w:rsid w:val="0E714EC9"/>
    <w:rsid w:val="0FC87CEA"/>
    <w:rsid w:val="101C4557"/>
    <w:rsid w:val="1351562A"/>
    <w:rsid w:val="15C25510"/>
    <w:rsid w:val="15DA4D44"/>
    <w:rsid w:val="18AE427D"/>
    <w:rsid w:val="18E81EA3"/>
    <w:rsid w:val="1B974A15"/>
    <w:rsid w:val="1CDC4CA0"/>
    <w:rsid w:val="1FCC39C5"/>
    <w:rsid w:val="20F61905"/>
    <w:rsid w:val="2199682E"/>
    <w:rsid w:val="21F57195"/>
    <w:rsid w:val="239E3C7B"/>
    <w:rsid w:val="27B55639"/>
    <w:rsid w:val="2A5B46B9"/>
    <w:rsid w:val="2A752F8B"/>
    <w:rsid w:val="2C665CEA"/>
    <w:rsid w:val="2E0F6BE8"/>
    <w:rsid w:val="2E2853FE"/>
    <w:rsid w:val="314F3E41"/>
    <w:rsid w:val="3B533162"/>
    <w:rsid w:val="4480521E"/>
    <w:rsid w:val="45872050"/>
    <w:rsid w:val="4661619B"/>
    <w:rsid w:val="478E224E"/>
    <w:rsid w:val="485E04E5"/>
    <w:rsid w:val="487316FE"/>
    <w:rsid w:val="49B75FAC"/>
    <w:rsid w:val="4C542AE7"/>
    <w:rsid w:val="4E4A4BF6"/>
    <w:rsid w:val="4F8D25ED"/>
    <w:rsid w:val="51AD130D"/>
    <w:rsid w:val="540A3FAB"/>
    <w:rsid w:val="562E484B"/>
    <w:rsid w:val="56834992"/>
    <w:rsid w:val="5930748A"/>
    <w:rsid w:val="59933671"/>
    <w:rsid w:val="5AA83521"/>
    <w:rsid w:val="5EEA5249"/>
    <w:rsid w:val="609213A6"/>
    <w:rsid w:val="6189082F"/>
    <w:rsid w:val="61BA6334"/>
    <w:rsid w:val="63C27F07"/>
    <w:rsid w:val="68090837"/>
    <w:rsid w:val="68AD6386"/>
    <w:rsid w:val="6D7A6503"/>
    <w:rsid w:val="70757613"/>
    <w:rsid w:val="70B756B4"/>
    <w:rsid w:val="7262038A"/>
    <w:rsid w:val="73270F88"/>
    <w:rsid w:val="74455F31"/>
    <w:rsid w:val="7540100C"/>
    <w:rsid w:val="77935A18"/>
    <w:rsid w:val="7B8E7427"/>
    <w:rsid w:val="7E5C2074"/>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ultiplexer/NDS3506/3EEECN_20170522101644.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215</Words>
  <Characters>1288</Characters>
  <Lines>12</Lines>
  <Paragraphs>3</Paragraphs>
  <TotalTime>1</TotalTime>
  <ScaleCrop>false</ScaleCrop>
  <LinksUpToDate>false</LinksUpToDate>
  <CharactersWithSpaces>1478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