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43966E">
      <w:pPr>
        <w:pStyle w:val="6"/>
        <w:widowControl/>
        <w:spacing w:beforeAutospacing="0" w:afterAutospacing="0" w:line="324" w:lineRule="atLeast"/>
        <w:jc w:val="center"/>
        <w:rPr>
          <w:rFonts w:hint="eastAsia" w:eastAsiaTheme="minorEastAsia"/>
          <w:lang w:eastAsia="zh-CN"/>
        </w:rPr>
      </w:pPr>
      <w:bookmarkStart w:id="0" w:name="_GoBack"/>
      <w:r>
        <w:rPr>
          <w:rFonts w:hint="eastAsia" w:ascii="Verdana" w:hAnsi="Verdana" w:cs="Verdana"/>
          <w:b/>
          <w:i w:val="0"/>
          <w:strike w:val="0"/>
          <w:color w:val="000000"/>
          <w:sz w:val="22"/>
          <w:lang w:eastAsia="zh-CN"/>
        </w:rPr>
        <w:t>FMUSER FUQ-4618Ry IP to ASI Gateway 12-Channel IP Input UDP Output DVB-ASI Dual Gigabit Ethernet PCR Restoration Jitter Resistance Professional Headend</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Solution </w:t>
      </w:r>
      <w:bookmarkEnd w:id="0"/>
      <w:r>
        <w:rPr>
          <w:rFonts w:ascii="Verdana" w:hAnsi="Verdana" w:cs="Verdana"/>
          <w:color w:val="000000"/>
          <w:sz w:val="28"/>
        </w:rPr>
        <w:drawing>
          <wp:inline distT="0" distB="0" distL="114300" distR="114300">
            <wp:extent cx="6181725" cy="3400425"/>
            <wp:effectExtent l="0" t="0" r="9525" b="9525"/>
            <wp:docPr id="1" name="图片 1" descr="3EEECN_20180827064931"/>
            <wp:cNvGraphicFramePr/>
            <a:graphic xmlns:a="http://schemas.openxmlformats.org/drawingml/2006/main">
              <a:graphicData uri="http://schemas.openxmlformats.org/drawingml/2006/picture">
                <pic:pic xmlns:pic="http://schemas.openxmlformats.org/drawingml/2006/picture">
                  <pic:nvPicPr>
                    <pic:cNvPr id="1" name="图片 1" descr="3EEECN_20180827064931"/>
                    <pic:cNvPicPr/>
                  </pic:nvPicPr>
                  <pic:blipFill>
                    <a:blip r:embed="rId6"/>
                    <a:stretch>
                      <a:fillRect/>
                    </a:stretch>
                  </pic:blipFill>
                  <pic:spPr>
                    <a:xfrm>
                      <a:off x="0" y="0"/>
                      <a:ext cx="6181725" cy="3400425"/>
                    </a:xfrm>
                    <a:prstGeom prst="rect">
                      <a:avLst/>
                    </a:prstGeom>
                  </pic:spPr>
                </pic:pic>
              </a:graphicData>
            </a:graphic>
          </wp:inline>
        </w:drawing>
      </w:r>
      <w:r>
        <w:rPr>
          <w:rStyle w:val="10"/>
          <w:rFonts w:hint="eastAsia" w:ascii="Verdana" w:hAnsi="Verdana" w:cs="Verdana"/>
          <w:color w:val="333333"/>
          <w:sz w:val="18"/>
          <w:szCs w:val="18"/>
          <w:shd w:val="clear" w:color="auto" w:fill="FEFCFD"/>
          <w:lang w:eastAsia="zh-CN"/>
        </w:rPr>
        <w:t>Product overview</w:t>
      </w:r>
    </w:p>
    <w:p w14:paraId="76613D7F">
      <w:pPr>
        <w:pStyle w:val="6"/>
        <w:widowControl/>
        <w:shd w:val="clear" w:color="auto" w:fill="FEFCFD"/>
        <w:spacing w:beforeAutospacing="0" w:afterAutospacing="0" w:line="324" w:lineRule="atLeast"/>
      </w:pPr>
      <w:r>
        <w:rPr>
          <w:rFonts w:hint="eastAsia" w:ascii="Arial" w:hAnsi="Arial" w:cs="Arial"/>
          <w:color w:val="333333"/>
          <w:sz w:val="18"/>
          <w:szCs w:val="18"/>
          <w:shd w:val="clear" w:color="auto" w:fill="FEFCFD"/>
          <w:lang w:eastAsia="zh-CN"/>
        </w:rPr>
        <w:t>The FUQ-4618Ry is a 12-channel IP-to-ASI gateway converting UDP/IP streams to DVB-ASI via dual Gigabit Ethernet inputs (RJ45/SFP). It processes MPTS/SPTS with PCR timing restoration and jitter correction for stable TS streams. The 1U rack-mount unit supports local LCD control and SNMP monitoring. Ideal for broadcast headends requiring high-density IP migration and cable TV systems upgrading legacy ASI infrastructure.</w:t>
      </w:r>
      <w:r>
        <w:rPr>
          <w:rFonts w:ascii="Verdana" w:hAnsi="Verdana" w:cs="Verdana"/>
          <w:color w:val="333333"/>
          <w:sz w:val="18"/>
          <w:szCs w:val="18"/>
          <w:shd w:val="clear" w:color="auto" w:fill="FEFCFD"/>
        </w:rPr>
        <w:t> </w:t>
      </w:r>
    </w:p>
    <w:p w14:paraId="66B74606">
      <w:pPr>
        <w:pStyle w:val="6"/>
        <w:widowControl/>
        <w:shd w:val="clear" w:color="auto" w:fill="FEFCFD"/>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790464BE">
      <w:pPr>
        <w:pStyle w:val="6"/>
        <w:widowControl/>
        <w:shd w:val="clear" w:color="auto" w:fill="FEFCFD"/>
        <w:spacing w:beforeAutospacing="0" w:afterAutospacing="0" w:line="324" w:lineRule="atLeast"/>
        <w:rPr>
          <w:rFonts w:hint="eastAsia" w:ascii="Arial" w:hAnsi="Arial" w:cs="Arial"/>
          <w:color w:val="333333"/>
          <w:sz w:val="18"/>
          <w:szCs w:val="18"/>
          <w:shd w:val="clear" w:color="auto" w:fill="FEFCFD"/>
          <w:lang w:eastAsia="zh-CN"/>
        </w:rPr>
      </w:pPr>
      <w:r>
        <w:rPr>
          <w:rFonts w:hint="eastAsia" w:ascii="Arial" w:hAnsi="Arial" w:cs="Arial"/>
          <w:color w:val="333333"/>
          <w:sz w:val="18"/>
          <w:szCs w:val="18"/>
          <w:shd w:val="clear" w:color="auto" w:fill="FEFCFD"/>
          <w:lang w:eastAsia="zh-CN"/>
        </w:rPr>
        <w:t>Offers local LCD/keypad control and SNMP remote monitoring</w:t>
      </w:r>
    </w:p>
    <w:p w14:paraId="7EFC947E">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878"/>
        <w:gridCol w:w="2205"/>
        <w:gridCol w:w="5667"/>
      </w:tblGrid>
      <w:tr w14:paraId="6DD194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restart"/>
            <w:shd w:val="clear" w:color="auto" w:fill="auto"/>
            <w:vAlign w:val="center"/>
          </w:tcPr>
          <w:p w14:paraId="097F9264">
            <w:pPr>
              <w:pStyle w:val="6"/>
              <w:widowControl/>
              <w:spacing w:beforeAutospacing="0" w:afterAutospacing="0" w:line="324" w:lineRule="atLeast"/>
            </w:pPr>
            <w:r>
              <w:t>Interface</w:t>
            </w:r>
          </w:p>
        </w:tc>
        <w:tc>
          <w:tcPr>
            <w:tcW w:w="2025" w:type="dxa"/>
            <w:shd w:val="clear" w:color="auto" w:fill="auto"/>
            <w:vAlign w:val="center"/>
          </w:tcPr>
          <w:p w14:paraId="0A877FDE">
            <w:pPr>
              <w:pStyle w:val="6"/>
              <w:widowControl/>
              <w:spacing w:beforeAutospacing="0" w:afterAutospacing="0" w:line="324" w:lineRule="atLeast"/>
              <w:ind w:left="105"/>
            </w:pPr>
            <w:r>
              <w:t>Input</w:t>
            </w:r>
          </w:p>
        </w:tc>
        <w:tc>
          <w:tcPr>
            <w:tcW w:w="5205" w:type="dxa"/>
            <w:shd w:val="clear" w:color="auto" w:fill="auto"/>
            <w:vAlign w:val="center"/>
          </w:tcPr>
          <w:p w14:paraId="6D41A19A">
            <w:pPr>
              <w:pStyle w:val="6"/>
              <w:widowControl/>
              <w:spacing w:beforeAutospacing="0" w:afterAutospacing="0" w:line="324" w:lineRule="atLeast"/>
              <w:ind w:left="105"/>
            </w:pPr>
            <w:r>
              <w:t>12 IP (MPTS/SPTS)over UDP, unicast and multicast, two 1000M input interfaces, RJ45/SFP</w:t>
            </w:r>
          </w:p>
        </w:tc>
      </w:tr>
      <w:tr w14:paraId="2729A1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continue"/>
            <w:shd w:val="clear" w:color="auto" w:fill="auto"/>
            <w:vAlign w:val="center"/>
          </w:tcPr>
          <w:p w14:paraId="2CF8B6EE">
            <w:pPr>
              <w:jc w:val="left"/>
              <w:rPr>
                <w:rFonts w:ascii="宋体"/>
                <w:sz w:val="24"/>
                <w:szCs w:val="24"/>
              </w:rPr>
            </w:pPr>
          </w:p>
        </w:tc>
        <w:tc>
          <w:tcPr>
            <w:tcW w:w="2025" w:type="dxa"/>
            <w:shd w:val="clear" w:color="auto" w:fill="auto"/>
            <w:vAlign w:val="center"/>
          </w:tcPr>
          <w:p w14:paraId="00B9ABBE">
            <w:pPr>
              <w:pStyle w:val="6"/>
              <w:widowControl/>
              <w:spacing w:beforeAutospacing="0" w:afterAutospacing="0" w:line="324" w:lineRule="atLeast"/>
              <w:ind w:left="105"/>
            </w:pPr>
            <w:r>
              <w:t>Output</w:t>
            </w:r>
          </w:p>
        </w:tc>
        <w:tc>
          <w:tcPr>
            <w:tcW w:w="5205" w:type="dxa"/>
            <w:shd w:val="clear" w:color="auto" w:fill="auto"/>
            <w:vAlign w:val="center"/>
          </w:tcPr>
          <w:p w14:paraId="0ACFE95B">
            <w:pPr>
              <w:pStyle w:val="6"/>
              <w:widowControl/>
              <w:spacing w:beforeAutospacing="0" w:afterAutospacing="0" w:line="324" w:lineRule="atLeast"/>
              <w:ind w:left="105"/>
            </w:pPr>
            <w:r>
              <w:t>12 ASI output, and each channel output with two BNC interfaces</w:t>
            </w:r>
          </w:p>
        </w:tc>
      </w:tr>
      <w:tr w14:paraId="0ABF45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725" w:type="dxa"/>
            <w:vMerge w:val="restart"/>
            <w:shd w:val="clear" w:color="auto" w:fill="auto"/>
            <w:vAlign w:val="center"/>
          </w:tcPr>
          <w:p w14:paraId="6A481924">
            <w:pPr>
              <w:pStyle w:val="6"/>
              <w:widowControl/>
              <w:spacing w:beforeAutospacing="0" w:afterAutospacing="0" w:line="324" w:lineRule="atLeast"/>
            </w:pPr>
            <w:r>
              <w:t>Transmitting protocol</w:t>
            </w:r>
          </w:p>
        </w:tc>
        <w:tc>
          <w:tcPr>
            <w:tcW w:w="2025" w:type="dxa"/>
            <w:shd w:val="clear" w:color="auto" w:fill="auto"/>
            <w:vAlign w:val="center"/>
          </w:tcPr>
          <w:p w14:paraId="03D0CC6D">
            <w:pPr>
              <w:pStyle w:val="6"/>
              <w:widowControl/>
              <w:spacing w:beforeAutospacing="0" w:afterAutospacing="0" w:line="324" w:lineRule="atLeast"/>
              <w:ind w:left="105"/>
            </w:pPr>
            <w:r>
              <w:t>Input</w:t>
            </w:r>
          </w:p>
        </w:tc>
        <w:tc>
          <w:tcPr>
            <w:tcW w:w="5205" w:type="dxa"/>
            <w:shd w:val="clear" w:color="auto" w:fill="auto"/>
            <w:vAlign w:val="center"/>
          </w:tcPr>
          <w:p w14:paraId="1DCC8A08">
            <w:pPr>
              <w:pStyle w:val="6"/>
              <w:widowControl/>
              <w:spacing w:beforeAutospacing="0" w:afterAutospacing="0" w:line="324" w:lineRule="atLeast"/>
              <w:ind w:left="105"/>
            </w:pPr>
            <w:r>
              <w:t>TS over UDP</w:t>
            </w:r>
          </w:p>
        </w:tc>
      </w:tr>
      <w:tr w14:paraId="34F180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continue"/>
            <w:shd w:val="clear" w:color="auto" w:fill="auto"/>
            <w:vAlign w:val="center"/>
          </w:tcPr>
          <w:p w14:paraId="671BD09C">
            <w:pPr>
              <w:jc w:val="left"/>
              <w:rPr>
                <w:rFonts w:ascii="宋体"/>
                <w:sz w:val="24"/>
                <w:szCs w:val="24"/>
              </w:rPr>
            </w:pPr>
          </w:p>
        </w:tc>
        <w:tc>
          <w:tcPr>
            <w:tcW w:w="2025" w:type="dxa"/>
            <w:shd w:val="clear" w:color="auto" w:fill="auto"/>
            <w:vAlign w:val="center"/>
          </w:tcPr>
          <w:p w14:paraId="15F4FA78">
            <w:pPr>
              <w:pStyle w:val="6"/>
              <w:widowControl/>
              <w:spacing w:beforeAutospacing="0" w:afterAutospacing="0" w:line="324" w:lineRule="atLeast"/>
              <w:ind w:left="105"/>
            </w:pPr>
            <w:r>
              <w:t>Output</w:t>
            </w:r>
          </w:p>
        </w:tc>
        <w:tc>
          <w:tcPr>
            <w:tcW w:w="5205" w:type="dxa"/>
            <w:shd w:val="clear" w:color="auto" w:fill="auto"/>
            <w:vAlign w:val="center"/>
          </w:tcPr>
          <w:p w14:paraId="639260A7">
            <w:pPr>
              <w:pStyle w:val="6"/>
              <w:widowControl/>
              <w:spacing w:beforeAutospacing="0" w:afterAutospacing="0" w:line="324" w:lineRule="atLeast"/>
              <w:ind w:left="105"/>
            </w:pPr>
            <w:r>
              <w:t>DVB-ASI</w:t>
            </w:r>
          </w:p>
        </w:tc>
      </w:tr>
      <w:tr w14:paraId="1D75D7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735" w:type="dxa"/>
            <w:gridSpan w:val="2"/>
            <w:shd w:val="clear" w:color="auto" w:fill="auto"/>
            <w:vAlign w:val="center"/>
          </w:tcPr>
          <w:p w14:paraId="4229C035">
            <w:pPr>
              <w:pStyle w:val="6"/>
              <w:widowControl/>
              <w:spacing w:beforeAutospacing="0" w:afterAutospacing="0" w:line="324" w:lineRule="atLeast"/>
            </w:pPr>
            <w:r>
              <w:t>Bit-rate</w:t>
            </w:r>
          </w:p>
        </w:tc>
        <w:tc>
          <w:tcPr>
            <w:tcW w:w="5205" w:type="dxa"/>
            <w:shd w:val="clear" w:color="auto" w:fill="auto"/>
            <w:vAlign w:val="center"/>
          </w:tcPr>
          <w:p w14:paraId="3A24CE8E">
            <w:pPr>
              <w:pStyle w:val="6"/>
              <w:widowControl/>
              <w:spacing w:beforeAutospacing="0" w:afterAutospacing="0" w:line="324" w:lineRule="atLeast"/>
              <w:ind w:left="105"/>
            </w:pPr>
            <w:r>
              <w:t>Max of each channel is 108Mbps, Max total bit-rate is 840Mbps</w:t>
            </w:r>
          </w:p>
        </w:tc>
      </w:tr>
      <w:tr w14:paraId="49C444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restart"/>
            <w:shd w:val="clear" w:color="auto" w:fill="auto"/>
            <w:vAlign w:val="center"/>
          </w:tcPr>
          <w:p w14:paraId="3D9C277B">
            <w:pPr>
              <w:pStyle w:val="6"/>
              <w:widowControl/>
              <w:spacing w:beforeAutospacing="0" w:afterAutospacing="0" w:line="324" w:lineRule="atLeast"/>
            </w:pPr>
            <w:r>
              <w:t>Miscellaneous</w:t>
            </w:r>
          </w:p>
        </w:tc>
        <w:tc>
          <w:tcPr>
            <w:tcW w:w="2025" w:type="dxa"/>
            <w:shd w:val="clear" w:color="auto" w:fill="auto"/>
            <w:vAlign w:val="center"/>
          </w:tcPr>
          <w:p w14:paraId="14A230AA">
            <w:pPr>
              <w:pStyle w:val="6"/>
              <w:widowControl/>
              <w:spacing w:beforeAutospacing="0" w:afterAutospacing="0" w:line="324" w:lineRule="atLeast"/>
              <w:ind w:left="105"/>
            </w:pPr>
            <w:r>
              <w:t>Dimension</w:t>
            </w:r>
          </w:p>
          <w:p w14:paraId="3F24738E">
            <w:pPr>
              <w:pStyle w:val="6"/>
              <w:widowControl/>
              <w:spacing w:beforeAutospacing="0" w:afterAutospacing="0" w:line="324" w:lineRule="atLeast"/>
              <w:ind w:left="105"/>
            </w:pPr>
            <w:r>
              <w:t>(W×L×H)</w:t>
            </w:r>
          </w:p>
        </w:tc>
        <w:tc>
          <w:tcPr>
            <w:tcW w:w="5205" w:type="dxa"/>
            <w:shd w:val="clear" w:color="auto" w:fill="auto"/>
            <w:vAlign w:val="center"/>
          </w:tcPr>
          <w:p w14:paraId="5A80D8CC">
            <w:pPr>
              <w:pStyle w:val="6"/>
              <w:widowControl/>
              <w:spacing w:beforeAutospacing="0" w:afterAutospacing="0" w:line="324" w:lineRule="atLeast"/>
              <w:ind w:left="105"/>
            </w:pPr>
            <w:r>
              <w:t>482mm×410mm×44mm</w:t>
            </w:r>
          </w:p>
        </w:tc>
      </w:tr>
      <w:tr w14:paraId="354C55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continue"/>
            <w:shd w:val="clear" w:color="auto" w:fill="auto"/>
            <w:vAlign w:val="center"/>
          </w:tcPr>
          <w:p w14:paraId="2189328E">
            <w:pPr>
              <w:jc w:val="left"/>
              <w:rPr>
                <w:rFonts w:ascii="宋体"/>
                <w:sz w:val="24"/>
                <w:szCs w:val="24"/>
              </w:rPr>
            </w:pPr>
          </w:p>
        </w:tc>
        <w:tc>
          <w:tcPr>
            <w:tcW w:w="2025" w:type="dxa"/>
            <w:shd w:val="clear" w:color="auto" w:fill="auto"/>
            <w:vAlign w:val="center"/>
          </w:tcPr>
          <w:p w14:paraId="27FB0270">
            <w:pPr>
              <w:pStyle w:val="6"/>
              <w:widowControl/>
              <w:spacing w:beforeAutospacing="0" w:afterAutospacing="0" w:line="324" w:lineRule="atLeast"/>
              <w:ind w:left="105"/>
            </w:pPr>
            <w:r>
              <w:t>Weight</w:t>
            </w:r>
          </w:p>
        </w:tc>
        <w:tc>
          <w:tcPr>
            <w:tcW w:w="5205" w:type="dxa"/>
            <w:shd w:val="clear" w:color="auto" w:fill="auto"/>
            <w:vAlign w:val="center"/>
          </w:tcPr>
          <w:p w14:paraId="033D336F">
            <w:pPr>
              <w:pStyle w:val="6"/>
              <w:widowControl/>
              <w:spacing w:beforeAutospacing="0" w:afterAutospacing="0" w:line="324" w:lineRule="atLeast"/>
              <w:ind w:left="105"/>
            </w:pPr>
            <w:r>
              <w:t>4kg</w:t>
            </w:r>
          </w:p>
        </w:tc>
      </w:tr>
      <w:tr w14:paraId="4491DF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continue"/>
            <w:shd w:val="clear" w:color="auto" w:fill="auto"/>
            <w:vAlign w:val="center"/>
          </w:tcPr>
          <w:p w14:paraId="405F25A9">
            <w:pPr>
              <w:jc w:val="left"/>
              <w:rPr>
                <w:rFonts w:ascii="宋体"/>
                <w:sz w:val="24"/>
                <w:szCs w:val="24"/>
              </w:rPr>
            </w:pPr>
          </w:p>
        </w:tc>
        <w:tc>
          <w:tcPr>
            <w:tcW w:w="2025" w:type="dxa"/>
            <w:shd w:val="clear" w:color="auto" w:fill="auto"/>
            <w:vAlign w:val="center"/>
          </w:tcPr>
          <w:p w14:paraId="1522B414">
            <w:pPr>
              <w:pStyle w:val="6"/>
              <w:widowControl/>
              <w:spacing w:beforeAutospacing="0" w:afterAutospacing="0" w:line="324" w:lineRule="atLeast"/>
              <w:ind w:left="105"/>
            </w:pPr>
            <w:r>
              <w:t>Temperature</w:t>
            </w:r>
          </w:p>
        </w:tc>
        <w:tc>
          <w:tcPr>
            <w:tcW w:w="5205" w:type="dxa"/>
            <w:shd w:val="clear" w:color="auto" w:fill="auto"/>
            <w:vAlign w:val="center"/>
          </w:tcPr>
          <w:p w14:paraId="15DA8AD2">
            <w:pPr>
              <w:pStyle w:val="6"/>
              <w:widowControl/>
              <w:spacing w:beforeAutospacing="0" w:afterAutospacing="0" w:line="324" w:lineRule="atLeast"/>
              <w:ind w:left="105"/>
            </w:pPr>
            <w:r>
              <w:t>0~45℃(operation)，-20~80℃(storage)</w:t>
            </w:r>
          </w:p>
        </w:tc>
      </w:tr>
      <w:tr w14:paraId="52BCB2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continue"/>
            <w:shd w:val="clear" w:color="auto" w:fill="auto"/>
            <w:vAlign w:val="center"/>
          </w:tcPr>
          <w:p w14:paraId="0F424304">
            <w:pPr>
              <w:jc w:val="left"/>
              <w:rPr>
                <w:rFonts w:ascii="宋体"/>
                <w:sz w:val="24"/>
                <w:szCs w:val="24"/>
              </w:rPr>
            </w:pPr>
          </w:p>
        </w:tc>
        <w:tc>
          <w:tcPr>
            <w:tcW w:w="2025" w:type="dxa"/>
            <w:shd w:val="clear" w:color="auto" w:fill="auto"/>
            <w:vAlign w:val="center"/>
          </w:tcPr>
          <w:p w14:paraId="039627E5">
            <w:pPr>
              <w:pStyle w:val="6"/>
              <w:widowControl/>
              <w:spacing w:beforeAutospacing="0" w:afterAutospacing="0" w:line="324" w:lineRule="atLeast"/>
              <w:ind w:left="105"/>
            </w:pPr>
            <w:r>
              <w:t>Power</w:t>
            </w:r>
          </w:p>
        </w:tc>
        <w:tc>
          <w:tcPr>
            <w:tcW w:w="5205" w:type="dxa"/>
            <w:shd w:val="clear" w:color="auto" w:fill="auto"/>
            <w:vAlign w:val="center"/>
          </w:tcPr>
          <w:p w14:paraId="57BF1B1F">
            <w:pPr>
              <w:pStyle w:val="6"/>
              <w:widowControl/>
              <w:spacing w:beforeAutospacing="0" w:afterAutospacing="0" w:line="324" w:lineRule="atLeast"/>
              <w:ind w:left="105"/>
            </w:pPr>
            <w:r>
              <w:t>100~240VAC，50/60Hz</w:t>
            </w:r>
          </w:p>
        </w:tc>
      </w:tr>
      <w:tr w14:paraId="585760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continue"/>
            <w:shd w:val="clear" w:color="auto" w:fill="auto"/>
            <w:vAlign w:val="center"/>
          </w:tcPr>
          <w:p w14:paraId="62E4F2E5">
            <w:pPr>
              <w:jc w:val="left"/>
              <w:rPr>
                <w:rFonts w:ascii="宋体"/>
                <w:sz w:val="24"/>
                <w:szCs w:val="24"/>
              </w:rPr>
            </w:pPr>
          </w:p>
        </w:tc>
        <w:tc>
          <w:tcPr>
            <w:tcW w:w="2025" w:type="dxa"/>
            <w:shd w:val="clear" w:color="auto" w:fill="auto"/>
            <w:vAlign w:val="center"/>
          </w:tcPr>
          <w:p w14:paraId="3C8D577F">
            <w:pPr>
              <w:pStyle w:val="6"/>
              <w:widowControl/>
              <w:spacing w:beforeAutospacing="0" w:afterAutospacing="0" w:line="324" w:lineRule="atLeast"/>
              <w:ind w:left="105"/>
            </w:pPr>
            <w:r>
              <w:t>Consumption</w:t>
            </w:r>
          </w:p>
        </w:tc>
        <w:tc>
          <w:tcPr>
            <w:tcW w:w="5205" w:type="dxa"/>
            <w:shd w:val="clear" w:color="auto" w:fill="auto"/>
            <w:vAlign w:val="center"/>
          </w:tcPr>
          <w:p w14:paraId="0DFF2789">
            <w:pPr>
              <w:pStyle w:val="6"/>
              <w:widowControl/>
              <w:spacing w:beforeAutospacing="0" w:afterAutospacing="0" w:line="324" w:lineRule="atLeast"/>
              <w:ind w:left="105"/>
            </w:pPr>
            <w:r>
              <w:t>22W</w:t>
            </w:r>
          </w:p>
        </w:tc>
      </w:tr>
    </w:tbl>
    <w:p w14:paraId="18D64E1A">
      <w:pPr>
        <w:pStyle w:val="6"/>
        <w:widowControl/>
        <w:spacing w:beforeAutospacing="0" w:afterAutospacing="0" w:line="324" w:lineRule="atLeast"/>
      </w:pPr>
      <w:r>
        <w:rPr>
          <w:rFonts w:ascii="Verdana" w:hAnsi="Verdana" w:cs="Verdana"/>
          <w:color w:val="333333"/>
          <w:sz w:val="18"/>
          <w:szCs w:val="18"/>
          <w:shd w:val="clear" w:color="auto" w:fill="FEFCFD"/>
        </w:rPr>
        <w:t> </w:t>
      </w:r>
    </w:p>
    <w:p w14:paraId="06519306">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76D201C1">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78550" cy="5783580"/>
            <wp:effectExtent l="0" t="0" r="12700" b="762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78550" cy="5783580"/>
                    </a:xfrm>
                    <a:prstGeom prst="rect">
                      <a:avLst/>
                    </a:prstGeom>
                    <a:noFill/>
                    <a:ln w="9525">
                      <a:noFill/>
                    </a:ln>
                  </pic:spPr>
                </pic:pic>
              </a:graphicData>
            </a:graphic>
          </wp:inline>
        </w:drawing>
      </w:r>
    </w:p>
    <w:p w14:paraId="655DF4AC">
      <w:pPr>
        <w:pStyle w:val="6"/>
        <w:widowControl/>
        <w:spacing w:beforeAutospacing="0" w:afterAutospacing="0" w:line="324" w:lineRule="atLeast"/>
      </w:pPr>
      <w:r>
        <w:rPr>
          <w:rFonts w:ascii="Verdana" w:hAnsi="Verdana" w:cs="Verdana"/>
          <w:color w:val="333333"/>
          <w:sz w:val="18"/>
          <w:szCs w:val="18"/>
          <w:shd w:val="clear" w:color="auto" w:fill="FEFCFD"/>
        </w:rPr>
        <w:t> </w:t>
      </w:r>
    </w:p>
    <w:p w14:paraId="4D10CBAE">
      <w:pPr>
        <w:pStyle w:val="6"/>
        <w:widowControl/>
        <w:spacing w:beforeAutospacing="0" w:afterAutospacing="0" w:line="324" w:lineRule="atLeast"/>
      </w:pPr>
      <w:r>
        <w:rPr>
          <w:rFonts w:ascii="Verdana" w:hAnsi="Verdana" w:cs="Verdana"/>
          <w:color w:val="333333"/>
          <w:sz w:val="18"/>
          <w:szCs w:val="18"/>
          <w:shd w:val="clear" w:color="auto" w:fill="FEFCFD"/>
        </w:rPr>
        <w:t> </w:t>
      </w:r>
    </w:p>
    <w:p w14:paraId="2A4EBEE0">
      <w:pPr>
        <w:pStyle w:val="6"/>
        <w:widowControl/>
        <w:spacing w:beforeAutospacing="0" w:afterAutospacing="0" w:line="324" w:lineRule="atLeast"/>
      </w:pPr>
      <w:r>
        <w:rPr>
          <w:rFonts w:ascii="Verdana" w:hAnsi="Verdana" w:cs="Verdana"/>
          <w:color w:val="333333"/>
          <w:sz w:val="18"/>
          <w:szCs w:val="18"/>
          <w:shd w:val="clear" w:color="auto" w:fill="FEFCFD"/>
        </w:rPr>
        <w:t> </w:t>
      </w:r>
    </w:p>
    <w:p w14:paraId="25AEF422">
      <w:pPr>
        <w:widowControl/>
        <w:shd w:val="clear" w:color="auto" w:fill="F2F2F4"/>
        <w:jc w:val="left"/>
        <w:rPr>
          <w:rFonts w:ascii="Verdana" w:hAnsi="Verdana" w:cs="Verdana"/>
          <w:color w:val="333333"/>
          <w:sz w:val="18"/>
          <w:szCs w:val="18"/>
        </w:rPr>
      </w:pPr>
    </w:p>
    <w:p w14:paraId="244D2B1A">
      <w:pPr>
        <w:rPr>
          <w:rFonts w:ascii="Verdana" w:hAnsi="Verdana" w:cs="Verdana"/>
          <w:color w:val="000000"/>
          <w:sz w:val="28"/>
        </w:rPr>
      </w:pPr>
    </w:p>
    <w:p w14:paraId="20314908">
      <w:pPr>
        <w:rPr>
          <w:rFonts w:ascii="Verdana" w:hAnsi="Verdana" w:cs="Verdana"/>
          <w:b/>
          <w:color w:val="000000"/>
          <w:sz w:val="22"/>
        </w:rPr>
      </w:pPr>
      <w:r>
        <w:rPr>
          <w:rFonts w:hint="eastAsia" w:ascii="Verdana" w:hAnsi="Verdana" w:cs="Verdana"/>
          <w:b/>
          <w:color w:val="000000"/>
          <w:sz w:val="22"/>
        </w:rPr>
        <w:t>About Us</w:t>
      </w:r>
    </w:p>
    <w:p w14:paraId="50000D34">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3EE0F2E">
      <w:pPr>
        <w:rPr>
          <w:rFonts w:ascii="Verdana" w:hAnsi="Verdana" w:cs="Verdana"/>
          <w:color w:val="000000"/>
          <w:sz w:val="18"/>
        </w:rPr>
      </w:pPr>
    </w:p>
    <w:p w14:paraId="712BA982">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9E9F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3813BBD">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4B34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937F3"/>
    <w:rsid w:val="000C61CB"/>
    <w:rsid w:val="001D0C80"/>
    <w:rsid w:val="001E63E5"/>
    <w:rsid w:val="00215238"/>
    <w:rsid w:val="00227839"/>
    <w:rsid w:val="00270F98"/>
    <w:rsid w:val="003743F3"/>
    <w:rsid w:val="003F2047"/>
    <w:rsid w:val="00444478"/>
    <w:rsid w:val="00453C05"/>
    <w:rsid w:val="00465307"/>
    <w:rsid w:val="00485F7A"/>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BE1551"/>
    <w:rsid w:val="00C44FAF"/>
    <w:rsid w:val="00CF1B2D"/>
    <w:rsid w:val="00D24477"/>
    <w:rsid w:val="00F268A0"/>
    <w:rsid w:val="00F714FF"/>
    <w:rsid w:val="00F7593F"/>
    <w:rsid w:val="00FC60FC"/>
    <w:rsid w:val="033D434A"/>
    <w:rsid w:val="0A680B1B"/>
    <w:rsid w:val="0BD2248F"/>
    <w:rsid w:val="0E714EC9"/>
    <w:rsid w:val="0FC87CEA"/>
    <w:rsid w:val="101C4557"/>
    <w:rsid w:val="15C25510"/>
    <w:rsid w:val="15C7412E"/>
    <w:rsid w:val="18AE427D"/>
    <w:rsid w:val="18E81EA3"/>
    <w:rsid w:val="1B974A15"/>
    <w:rsid w:val="1CDC4CA0"/>
    <w:rsid w:val="1DA36BD9"/>
    <w:rsid w:val="1FCC39C5"/>
    <w:rsid w:val="20F61905"/>
    <w:rsid w:val="2199682E"/>
    <w:rsid w:val="239E3C7B"/>
    <w:rsid w:val="23B16CB1"/>
    <w:rsid w:val="27B55639"/>
    <w:rsid w:val="2A752F8B"/>
    <w:rsid w:val="2C665CEA"/>
    <w:rsid w:val="2E0F6BE8"/>
    <w:rsid w:val="314F3E41"/>
    <w:rsid w:val="328D771A"/>
    <w:rsid w:val="3B533162"/>
    <w:rsid w:val="3E5B3839"/>
    <w:rsid w:val="3F1F7E49"/>
    <w:rsid w:val="45872050"/>
    <w:rsid w:val="478E224E"/>
    <w:rsid w:val="485E04E5"/>
    <w:rsid w:val="487316FE"/>
    <w:rsid w:val="49B75FAC"/>
    <w:rsid w:val="4E4A4BF6"/>
    <w:rsid w:val="4E4C5382"/>
    <w:rsid w:val="4F8D25ED"/>
    <w:rsid w:val="51AD130D"/>
    <w:rsid w:val="540A3FAB"/>
    <w:rsid w:val="562E484B"/>
    <w:rsid w:val="56834992"/>
    <w:rsid w:val="5930748A"/>
    <w:rsid w:val="59933671"/>
    <w:rsid w:val="5AA83521"/>
    <w:rsid w:val="5EEA5249"/>
    <w:rsid w:val="609213A6"/>
    <w:rsid w:val="61BA6334"/>
    <w:rsid w:val="63C27F07"/>
    <w:rsid w:val="68AD6386"/>
    <w:rsid w:val="6BAB63B9"/>
    <w:rsid w:val="6D7A6503"/>
    <w:rsid w:val="6F7A062E"/>
    <w:rsid w:val="70757613"/>
    <w:rsid w:val="70B756B4"/>
    <w:rsid w:val="73270F88"/>
    <w:rsid w:val="74455F31"/>
    <w:rsid w:val="7540100C"/>
    <w:rsid w:val="77935A18"/>
    <w:rsid w:val="7B8E7427"/>
    <w:rsid w:val="7C3F440E"/>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Gateway/NDS3507Rx%20IP%20to%20ASI%20Gigabits%20IP%20Gateway/3EEECN_20180601033045.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211</Words>
  <Characters>1312</Characters>
  <Lines>14</Lines>
  <Paragraphs>3</Paragraphs>
  <TotalTime>0</TotalTime>
  <ScaleCrop>false</ScaleCrop>
  <LinksUpToDate>false</LinksUpToDate>
  <CharactersWithSpaces>1495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2025-08-20T07:41:46Z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