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0EC6E5">
      <w:pPr>
        <w:pStyle w:val="2"/>
        <w:widowControl/>
        <w:spacing w:beforeAutospacing="0" w:afterAutospacing="0" w:line="324" w:lineRule="atLeast"/>
        <w:jc w:val="center"/>
        <w:rPr>
          <w:rFonts w:hint="eastAsia" w:eastAsia="宋体"/>
          <w:lang w:eastAsia="zh-CN"/>
        </w:rPr>
      </w:pPr>
      <w:r>
        <w:rPr>
          <w:rFonts w:hint="eastAsia" w:ascii="Verdana" w:hAnsi="Verdana" w:cs="Verdana"/>
          <w:b/>
          <w:i w:val="0"/>
          <w:strike w:val="0"/>
          <w:color w:val="000000"/>
          <w:sz w:val="22"/>
          <w:lang w:eastAsia="zh-CN"/>
        </w:rPr>
        <w:t xml:space="preserve">FMUSER FUQ-4619B ASI to IP Gateway 8 ASI Inputs to 20/32/256 SPTS Outputs UDP-RTP-RTSP Protocol BISS Descrambling IP Null Packet Filtering for </w:t>
      </w:r>
      <w:bookmarkStart w:id="0" w:name="_GoBack"/>
      <w:bookmarkEnd w:id="0"/>
      <w:r>
        <w:rPr>
          <w:rFonts w:hint="eastAsia" w:ascii="Verdana" w:hAnsi="Verdana" w:cs="Verdana"/>
          <w:b/>
          <w:i w:val="0"/>
          <w:strike w:val="0"/>
          <w:color w:val="000000"/>
          <w:sz w:val="22"/>
          <w:lang w:eastAsia="zh-CN"/>
        </w:rPr>
        <w:t>Broadcast IPTV</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 xml:space="preserve">Systems </w:t>
      </w:r>
      <w:r>
        <w:rPr>
          <w:rFonts w:hint="default" w:ascii="Verdana" w:hAnsi="Verdana" w:cs="Verdana"/>
          <w:b w:val="0"/>
          <w:color w:val="000000"/>
          <w:sz w:val="28"/>
        </w:rPr>
        <w:drawing>
          <wp:inline distT="0" distB="0" distL="114300" distR="114300">
            <wp:extent cx="6181725" cy="3400425"/>
            <wp:effectExtent l="0" t="0" r="9525" b="9525"/>
            <wp:docPr id="1" name="图片 1" descr="3EEECN_20171024104026"/>
            <wp:cNvGraphicFramePr/>
            <a:graphic xmlns:a="http://schemas.openxmlformats.org/drawingml/2006/main">
              <a:graphicData uri="http://schemas.openxmlformats.org/drawingml/2006/picture">
                <pic:pic xmlns:pic="http://schemas.openxmlformats.org/drawingml/2006/picture">
                  <pic:nvPicPr>
                    <pic:cNvPr id="1" name="图片 1" descr="3EEECN_20171024104026"/>
                    <pic:cNvPicPr/>
                  </pic:nvPicPr>
                  <pic:blipFill>
                    <a:blip r:embed="rId6"/>
                    <a:stretch>
                      <a:fillRect/>
                    </a:stretch>
                  </pic:blipFill>
                  <pic:spPr>
                    <a:xfrm>
                      <a:off x="0" y="0"/>
                      <a:ext cx="6181725" cy="3400425"/>
                    </a:xfrm>
                    <a:prstGeom prst="rect">
                      <a:avLst/>
                    </a:prstGeom>
                  </pic:spPr>
                </pic:pic>
              </a:graphicData>
            </a:graphic>
          </wp:inline>
        </w:drawing>
      </w:r>
      <w:r>
        <w:rPr>
          <w:rStyle w:val="11"/>
          <w:rFonts w:hint="eastAsia" w:ascii="Verdana" w:hAnsi="Verdana" w:eastAsia="宋体" w:cs="Verdana"/>
          <w:b/>
          <w:bCs w:val="0"/>
          <w:color w:val="333333"/>
          <w:kern w:val="0"/>
          <w:sz w:val="21"/>
          <w:szCs w:val="21"/>
          <w:shd w:val="clear" w:color="auto" w:fill="FEFCFD"/>
          <w:lang w:val="en-US" w:eastAsia="zh-CN" w:bidi="ar-SA"/>
        </w:rPr>
        <w:t>Product overview</w:t>
      </w:r>
    </w:p>
    <w:p w14:paraId="223F93F7">
      <w:pPr>
        <w:pStyle w:val="2"/>
        <w:widowControl/>
        <w:spacing w:beforeAutospacing="0" w:afterAutospacing="0" w:line="324" w:lineRule="atLeast"/>
        <w:rPr>
          <w:rFonts w:hint="default"/>
        </w:rPr>
      </w:pPr>
      <w:r>
        <w:rPr>
          <w:rFonts w:hint="eastAsia" w:ascii="Verdana" w:hAnsi="Verdana" w:cs="Verdana" w:eastAsiaTheme="minorEastAsia"/>
          <w:b w:val="0"/>
          <w:bCs w:val="0"/>
          <w:color w:val="333333"/>
          <w:kern w:val="0"/>
          <w:sz w:val="18"/>
          <w:szCs w:val="18"/>
          <w:shd w:val="clear" w:color="auto" w:fill="FEFCFD"/>
          <w:lang w:val="en-US" w:eastAsia="zh-CN" w:bidi="ar-SA"/>
        </w:rPr>
        <w:t>The FUQ-4619B ASI to IP Gateway converts 8 ASI inputs to IP outputs, supporting SPTS streams with BISS descrambling over UDP/RTP protocols. It processes signals by descrambling and filtering for efficient IP conversion. Controlled via SNMP for network management, this device suits broadcast head-end systems and IPTV distribution networks.</w:t>
      </w:r>
      <w:r>
        <w:rPr>
          <w:color w:val="333333"/>
          <w:shd w:val="clear" w:color="auto" w:fill="FEFCFD"/>
        </w:rPr>
        <w:t> </w:t>
      </w:r>
    </w:p>
    <w:p w14:paraId="06B09A07">
      <w:pPr>
        <w:pStyle w:val="7"/>
        <w:widowControl/>
        <w:spacing w:beforeAutospacing="0" w:afterAutospacing="0" w:line="324" w:lineRule="atLeast"/>
        <w:rPr>
          <w:rStyle w:val="11"/>
          <w:rFonts w:hint="default" w:ascii="Verdana" w:hAnsi="Verdana" w:eastAsia="宋体" w:cs="Verdana"/>
          <w:color w:val="333333"/>
          <w:sz w:val="21"/>
          <w:szCs w:val="21"/>
          <w:shd w:val="clear" w:color="auto" w:fill="FEFCFD"/>
        </w:rPr>
      </w:pPr>
      <w:r>
        <w:rPr>
          <w:rStyle w:val="11"/>
          <w:rFonts w:hint="eastAsia" w:ascii="Verdana" w:hAnsi="Verdana" w:eastAsia="宋体" w:cs="Verdana"/>
          <w:color w:val="333333"/>
          <w:sz w:val="21"/>
          <w:szCs w:val="21"/>
          <w:shd w:val="clear" w:color="auto" w:fill="FEFCFD"/>
          <w:lang w:val="en-US" w:eastAsia="zh-CN"/>
        </w:rPr>
        <w:t>Key f</w:t>
      </w:r>
      <w:r>
        <w:rPr>
          <w:rStyle w:val="11"/>
          <w:rFonts w:ascii="Verdana" w:hAnsi="Verdana" w:eastAsia="宋体" w:cs="Verdana"/>
          <w:color w:val="333333"/>
          <w:sz w:val="21"/>
          <w:szCs w:val="21"/>
          <w:shd w:val="clear" w:color="auto" w:fill="FEFCFD"/>
        </w:rPr>
        <w:t>eature</w:t>
      </w:r>
    </w:p>
    <w:p w14:paraId="434972BD">
      <w:pPr>
        <w:pStyle w:val="7"/>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8-channel ASI input for conversion to SPTS streams.  </w:t>
      </w:r>
    </w:p>
    <w:p w14:paraId="02C9447D">
      <w:pPr>
        <w:pStyle w:val="7"/>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Provides BISS descrambling (Mode 1/E) with 120Mbps throughput.  </w:t>
      </w:r>
    </w:p>
    <w:p w14:paraId="4CF6E264">
      <w:pPr>
        <w:pStyle w:val="7"/>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Features 1 GE output with configurable bit-rates: 400Mbps or 800Mbps.  </w:t>
      </w:r>
    </w:p>
    <w:p w14:paraId="0300066D">
      <w:pPr>
        <w:pStyle w:val="7"/>
        <w:widowControl/>
        <w:spacing w:beforeAutospacing="0" w:afterAutospacing="0" w:line="324" w:lineRule="atLeast"/>
      </w:pPr>
      <w:r>
        <w:rPr>
          <w:rFonts w:hint="eastAsia" w:ascii="Verdana" w:hAnsi="Verdana" w:cs="Verdana"/>
          <w:color w:val="333333"/>
          <w:sz w:val="18"/>
          <w:szCs w:val="18"/>
          <w:shd w:val="clear" w:color="auto" w:fill="FEFCFD"/>
        </w:rPr>
        <w:t>Includes IP null packet filtering and multi-protocol support (UDP, RTP/RTSP, unicast/multicast).</w:t>
      </w:r>
    </w:p>
    <w:p w14:paraId="75E529BD">
      <w:pPr>
        <w:pStyle w:val="7"/>
        <w:widowControl/>
        <w:spacing w:beforeAutospacing="0" w:afterAutospacing="0" w:line="324" w:lineRule="atLeast"/>
      </w:pPr>
      <w:r>
        <w:rPr>
          <w:rStyle w:val="11"/>
          <w:rFonts w:ascii="Verdana" w:hAnsi="Verdana" w:cs="Verdana"/>
          <w:color w:val="333333"/>
          <w:sz w:val="21"/>
          <w:szCs w:val="21"/>
          <w:shd w:val="clear" w:color="auto" w:fill="FEFCFD"/>
        </w:rPr>
        <w:t>Principle Chart</w:t>
      </w:r>
    </w:p>
    <w:p w14:paraId="0B6E0111">
      <w:pPr>
        <w:pStyle w:val="2"/>
        <w:widowControl/>
        <w:spacing w:beforeAutospacing="0" w:afterAutospacing="0" w:line="324" w:lineRule="atLeast"/>
        <w:jc w:val="center"/>
        <w:rPr>
          <w:rFonts w:hint="default"/>
        </w:rPr>
      </w:pPr>
      <w:r>
        <w:rPr>
          <w:color w:val="333333"/>
          <w:shd w:val="clear" w:color="auto" w:fill="FEFCFD"/>
        </w:rPr>
        <w:drawing>
          <wp:inline distT="0" distB="0" distL="114300" distR="114300">
            <wp:extent cx="4286250" cy="2867025"/>
            <wp:effectExtent l="0" t="0" r="0" b="952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4286250" cy="2867025"/>
                    </a:xfrm>
                    <a:prstGeom prst="rect">
                      <a:avLst/>
                    </a:prstGeom>
                    <a:noFill/>
                    <a:ln w="9525">
                      <a:noFill/>
                    </a:ln>
                  </pic:spPr>
                </pic:pic>
              </a:graphicData>
            </a:graphic>
          </wp:inline>
        </w:drawing>
      </w:r>
    </w:p>
    <w:p w14:paraId="215DC207">
      <w:pPr>
        <w:pStyle w:val="2"/>
        <w:widowControl/>
        <w:spacing w:beforeAutospacing="0" w:afterAutospacing="0" w:line="324" w:lineRule="atLeast"/>
        <w:rPr>
          <w:rFonts w:hint="default"/>
        </w:rPr>
      </w:pPr>
      <w:r>
        <w:rPr>
          <w:color w:val="333333"/>
          <w:sz w:val="21"/>
          <w:szCs w:val="21"/>
          <w:shd w:val="clear" w:color="auto" w:fill="FEFCFD"/>
        </w:rPr>
        <w:t>Specification</w:t>
      </w:r>
    </w:p>
    <w:p w14:paraId="28D60EBD">
      <w:pPr>
        <w:pStyle w:val="7"/>
        <w:widowControl/>
        <w:spacing w:beforeAutospacing="0" w:afterAutospacing="0" w:line="324" w:lineRule="atLeast"/>
      </w:pPr>
      <w:r>
        <w:rPr>
          <w:rFonts w:ascii="Verdana" w:hAnsi="Verdana" w:cs="Verdana"/>
          <w:color w:val="333333"/>
          <w:sz w:val="18"/>
          <w:szCs w:val="18"/>
          <w:shd w:val="clear" w:color="auto" w:fill="FEFCFD"/>
        </w:rPr>
        <w:t> </w:t>
      </w:r>
    </w:p>
    <w:tbl>
      <w:tblPr>
        <w:tblStyle w:val="8"/>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545"/>
        <w:gridCol w:w="2483"/>
        <w:gridCol w:w="5722"/>
      </w:tblGrid>
      <w:tr w14:paraId="2DA026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5" w:hRule="atLeast"/>
          <w:tblCellSpacing w:w="0" w:type="dxa"/>
        </w:trPr>
        <w:tc>
          <w:tcPr>
            <w:tcW w:w="1410" w:type="dxa"/>
            <w:shd w:val="clear" w:color="auto" w:fill="auto"/>
            <w:vAlign w:val="center"/>
          </w:tcPr>
          <w:p w14:paraId="3B4ED7BB">
            <w:pPr>
              <w:pStyle w:val="7"/>
              <w:widowControl/>
              <w:spacing w:beforeAutospacing="0" w:afterAutospacing="0" w:line="324" w:lineRule="atLeast"/>
            </w:pPr>
            <w:r>
              <w:rPr>
                <w:rStyle w:val="11"/>
              </w:rPr>
              <w:t>Input</w:t>
            </w:r>
          </w:p>
        </w:tc>
        <w:tc>
          <w:tcPr>
            <w:tcW w:w="7485" w:type="dxa"/>
            <w:gridSpan w:val="2"/>
            <w:shd w:val="clear" w:color="auto" w:fill="auto"/>
            <w:vAlign w:val="center"/>
          </w:tcPr>
          <w:p w14:paraId="65F180CA">
            <w:pPr>
              <w:pStyle w:val="7"/>
              <w:widowControl/>
              <w:spacing w:beforeAutospacing="0" w:afterAutospacing="0" w:line="324" w:lineRule="atLeast"/>
            </w:pPr>
            <w:r>
              <w:t xml:space="preserve">8 ASI input                                         </w:t>
            </w:r>
            <w:r>
              <w:softHyphen/>
            </w:r>
            <w:r>
              <w:t>    </w:t>
            </w:r>
          </w:p>
        </w:tc>
      </w:tr>
      <w:tr w14:paraId="56C54D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10" w:type="dxa"/>
            <w:shd w:val="clear" w:color="auto" w:fill="auto"/>
            <w:vAlign w:val="center"/>
          </w:tcPr>
          <w:p w14:paraId="271B39FF">
            <w:pPr>
              <w:pStyle w:val="7"/>
              <w:widowControl/>
              <w:spacing w:beforeAutospacing="0" w:afterAutospacing="0" w:line="324" w:lineRule="atLeast"/>
            </w:pPr>
            <w:r>
              <w:rPr>
                <w:rStyle w:val="11"/>
              </w:rPr>
              <w:t>Output</w:t>
            </w:r>
          </w:p>
        </w:tc>
        <w:tc>
          <w:tcPr>
            <w:tcW w:w="7485" w:type="dxa"/>
            <w:gridSpan w:val="2"/>
            <w:shd w:val="clear" w:color="auto" w:fill="auto"/>
            <w:vAlign w:val="center"/>
          </w:tcPr>
          <w:p w14:paraId="5575C700">
            <w:pPr>
              <w:pStyle w:val="7"/>
              <w:widowControl/>
              <w:spacing w:beforeAutospacing="0" w:afterAutospacing="0" w:line="324" w:lineRule="atLeast"/>
            </w:pPr>
            <w:r>
              <w:t>1 GE output, UDP, RTP/RTSP protocol, unicast and Multicast</w:t>
            </w:r>
          </w:p>
          <w:p w14:paraId="24B2EE13">
            <w:pPr>
              <w:pStyle w:val="7"/>
              <w:widowControl/>
              <w:spacing w:beforeAutospacing="0" w:afterAutospacing="0" w:line="324" w:lineRule="atLeast"/>
            </w:pPr>
            <w:r>
              <w:t>256 SPTS output — Without BISS function and IP null packet filter</w:t>
            </w:r>
          </w:p>
          <w:p w14:paraId="27E63DB9">
            <w:pPr>
              <w:pStyle w:val="7"/>
              <w:widowControl/>
              <w:spacing w:beforeAutospacing="0" w:afterAutospacing="0" w:line="324" w:lineRule="atLeast"/>
            </w:pPr>
            <w:r>
              <w:t>32 SPTS output — Without BISS function</w:t>
            </w:r>
          </w:p>
          <w:p w14:paraId="45F33FDA">
            <w:pPr>
              <w:pStyle w:val="7"/>
              <w:widowControl/>
              <w:spacing w:beforeAutospacing="0" w:afterAutospacing="0" w:line="324" w:lineRule="atLeast"/>
            </w:pPr>
            <w:r>
              <w:t>20 SPTS output — With BISS function</w:t>
            </w:r>
          </w:p>
        </w:tc>
      </w:tr>
      <w:tr w14:paraId="61BCCC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10" w:type="dxa"/>
            <w:shd w:val="clear" w:color="auto" w:fill="auto"/>
            <w:vAlign w:val="center"/>
          </w:tcPr>
          <w:p w14:paraId="716D22CD">
            <w:pPr>
              <w:pStyle w:val="7"/>
              <w:widowControl/>
              <w:spacing w:beforeAutospacing="0" w:afterAutospacing="0" w:line="324" w:lineRule="atLeast"/>
            </w:pPr>
            <w:r>
              <w:rPr>
                <w:rStyle w:val="11"/>
              </w:rPr>
              <w:t>BISS descrambling</w:t>
            </w:r>
          </w:p>
        </w:tc>
        <w:tc>
          <w:tcPr>
            <w:tcW w:w="7485" w:type="dxa"/>
            <w:gridSpan w:val="2"/>
            <w:shd w:val="clear" w:color="auto" w:fill="auto"/>
            <w:vAlign w:val="center"/>
          </w:tcPr>
          <w:p w14:paraId="2D4866CE">
            <w:pPr>
              <w:pStyle w:val="7"/>
              <w:widowControl/>
              <w:spacing w:beforeAutospacing="0" w:afterAutospacing="0" w:line="324" w:lineRule="atLeast"/>
            </w:pPr>
            <w:r>
              <w:t>Mode 1, Mode E</w:t>
            </w:r>
          </w:p>
        </w:tc>
      </w:tr>
      <w:tr w14:paraId="377566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3675" w:type="dxa"/>
            <w:gridSpan w:val="2"/>
            <w:vMerge w:val="restart"/>
            <w:shd w:val="clear" w:color="auto" w:fill="auto"/>
            <w:vAlign w:val="center"/>
          </w:tcPr>
          <w:p w14:paraId="4AB34DD8">
            <w:pPr>
              <w:pStyle w:val="7"/>
              <w:widowControl/>
              <w:spacing w:beforeAutospacing="0" w:afterAutospacing="0" w:line="324" w:lineRule="atLeast"/>
            </w:pPr>
            <w:r>
              <w:rPr>
                <w:rStyle w:val="11"/>
              </w:rPr>
              <w:t>Transmission Bit-rate</w:t>
            </w:r>
          </w:p>
        </w:tc>
        <w:tc>
          <w:tcPr>
            <w:tcW w:w="5220" w:type="dxa"/>
            <w:shd w:val="clear" w:color="auto" w:fill="auto"/>
            <w:vAlign w:val="center"/>
          </w:tcPr>
          <w:p w14:paraId="7EE315CD">
            <w:pPr>
              <w:pStyle w:val="7"/>
              <w:widowControl/>
              <w:spacing w:beforeAutospacing="0" w:afterAutospacing="0" w:line="324" w:lineRule="atLeast"/>
            </w:pPr>
            <w:r>
              <w:t>Maximum total bit-rate is 400Mbps—256 SPTS output</w:t>
            </w:r>
          </w:p>
        </w:tc>
      </w:tr>
      <w:tr w14:paraId="44F9A9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3675" w:type="dxa"/>
            <w:gridSpan w:val="2"/>
            <w:vMerge w:val="continue"/>
            <w:shd w:val="clear" w:color="auto" w:fill="auto"/>
            <w:vAlign w:val="center"/>
          </w:tcPr>
          <w:p w14:paraId="51FAECD0">
            <w:pPr>
              <w:jc w:val="left"/>
              <w:rPr>
                <w:rFonts w:ascii="宋体"/>
                <w:sz w:val="24"/>
                <w:szCs w:val="24"/>
              </w:rPr>
            </w:pPr>
          </w:p>
        </w:tc>
        <w:tc>
          <w:tcPr>
            <w:tcW w:w="5220" w:type="dxa"/>
            <w:shd w:val="clear" w:color="auto" w:fill="auto"/>
            <w:vAlign w:val="center"/>
          </w:tcPr>
          <w:p w14:paraId="585C249B">
            <w:pPr>
              <w:pStyle w:val="7"/>
              <w:widowControl/>
              <w:spacing w:beforeAutospacing="0" w:afterAutospacing="0" w:line="324" w:lineRule="atLeast"/>
            </w:pPr>
            <w:r>
              <w:t>Maximum total bit-rate is 800Mbps—32/20 SPTS output</w:t>
            </w:r>
          </w:p>
        </w:tc>
      </w:tr>
      <w:tr w14:paraId="0913D3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10" w:type="dxa"/>
            <w:vMerge w:val="restart"/>
            <w:shd w:val="clear" w:color="auto" w:fill="auto"/>
            <w:vAlign w:val="center"/>
          </w:tcPr>
          <w:p w14:paraId="0BEF3B4E">
            <w:pPr>
              <w:pStyle w:val="7"/>
              <w:widowControl/>
              <w:spacing w:beforeAutospacing="0" w:afterAutospacing="0" w:line="324" w:lineRule="atLeast"/>
            </w:pPr>
            <w:r>
              <w:rPr>
                <w:rStyle w:val="11"/>
              </w:rPr>
              <w:t>General</w:t>
            </w:r>
          </w:p>
        </w:tc>
        <w:tc>
          <w:tcPr>
            <w:tcW w:w="2265" w:type="dxa"/>
            <w:shd w:val="clear" w:color="auto" w:fill="auto"/>
            <w:vAlign w:val="center"/>
          </w:tcPr>
          <w:p w14:paraId="4C0AE782">
            <w:pPr>
              <w:pStyle w:val="7"/>
              <w:widowControl/>
              <w:spacing w:beforeAutospacing="0" w:afterAutospacing="0" w:line="324" w:lineRule="atLeast"/>
            </w:pPr>
            <w:r>
              <w:t>Dimension(WxLxH)</w:t>
            </w:r>
          </w:p>
        </w:tc>
        <w:tc>
          <w:tcPr>
            <w:tcW w:w="5220" w:type="dxa"/>
            <w:shd w:val="clear" w:color="auto" w:fill="auto"/>
            <w:vAlign w:val="center"/>
          </w:tcPr>
          <w:p w14:paraId="3A1FD1FB">
            <w:pPr>
              <w:pStyle w:val="7"/>
              <w:widowControl/>
              <w:spacing w:beforeAutospacing="0" w:afterAutospacing="0" w:line="324" w:lineRule="atLeast"/>
            </w:pPr>
            <w:r>
              <w:t>482mm×410mm×44mm</w:t>
            </w:r>
          </w:p>
        </w:tc>
      </w:tr>
      <w:tr w14:paraId="2D22C2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10" w:type="dxa"/>
            <w:vMerge w:val="continue"/>
            <w:shd w:val="clear" w:color="auto" w:fill="auto"/>
            <w:vAlign w:val="center"/>
          </w:tcPr>
          <w:p w14:paraId="50F25B96">
            <w:pPr>
              <w:jc w:val="left"/>
              <w:rPr>
                <w:rFonts w:ascii="宋体"/>
                <w:sz w:val="24"/>
                <w:szCs w:val="24"/>
              </w:rPr>
            </w:pPr>
          </w:p>
        </w:tc>
        <w:tc>
          <w:tcPr>
            <w:tcW w:w="2265" w:type="dxa"/>
            <w:shd w:val="clear" w:color="auto" w:fill="auto"/>
            <w:vAlign w:val="center"/>
          </w:tcPr>
          <w:p w14:paraId="25132B10">
            <w:pPr>
              <w:pStyle w:val="7"/>
              <w:widowControl/>
              <w:spacing w:beforeAutospacing="0" w:afterAutospacing="0" w:line="324" w:lineRule="atLeast"/>
            </w:pPr>
            <w:r>
              <w:t>Weight</w:t>
            </w:r>
          </w:p>
        </w:tc>
        <w:tc>
          <w:tcPr>
            <w:tcW w:w="5220" w:type="dxa"/>
            <w:shd w:val="clear" w:color="auto" w:fill="auto"/>
            <w:vAlign w:val="center"/>
          </w:tcPr>
          <w:p w14:paraId="00ABE079">
            <w:pPr>
              <w:pStyle w:val="7"/>
              <w:widowControl/>
              <w:spacing w:beforeAutospacing="0" w:afterAutospacing="0" w:line="324" w:lineRule="atLeast"/>
            </w:pPr>
            <w:r>
              <w:t>3.6kg</w:t>
            </w:r>
          </w:p>
        </w:tc>
      </w:tr>
      <w:tr w14:paraId="410F6A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10" w:type="dxa"/>
            <w:vMerge w:val="continue"/>
            <w:shd w:val="clear" w:color="auto" w:fill="auto"/>
            <w:vAlign w:val="center"/>
          </w:tcPr>
          <w:p w14:paraId="331D4D73">
            <w:pPr>
              <w:jc w:val="left"/>
              <w:rPr>
                <w:rFonts w:ascii="宋体"/>
                <w:sz w:val="24"/>
                <w:szCs w:val="24"/>
              </w:rPr>
            </w:pPr>
          </w:p>
        </w:tc>
        <w:tc>
          <w:tcPr>
            <w:tcW w:w="2265" w:type="dxa"/>
            <w:shd w:val="clear" w:color="auto" w:fill="auto"/>
            <w:vAlign w:val="center"/>
          </w:tcPr>
          <w:p w14:paraId="0EFBACB0">
            <w:pPr>
              <w:pStyle w:val="7"/>
              <w:widowControl/>
              <w:spacing w:beforeAutospacing="0" w:afterAutospacing="0" w:line="324" w:lineRule="atLeast"/>
            </w:pPr>
            <w:r>
              <w:t>Temperature</w:t>
            </w:r>
          </w:p>
        </w:tc>
        <w:tc>
          <w:tcPr>
            <w:tcW w:w="5220" w:type="dxa"/>
            <w:shd w:val="clear" w:color="auto" w:fill="auto"/>
            <w:vAlign w:val="center"/>
          </w:tcPr>
          <w:p w14:paraId="7140E2A7">
            <w:pPr>
              <w:pStyle w:val="7"/>
              <w:widowControl/>
              <w:spacing w:beforeAutospacing="0" w:afterAutospacing="0" w:line="324" w:lineRule="atLeast"/>
            </w:pPr>
            <w:r>
              <w:t>0~45℃(working )，-20~80℃(storage)</w:t>
            </w:r>
          </w:p>
        </w:tc>
      </w:tr>
      <w:tr w14:paraId="2D4212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10" w:type="dxa"/>
            <w:vMerge w:val="continue"/>
            <w:shd w:val="clear" w:color="auto" w:fill="auto"/>
            <w:vAlign w:val="center"/>
          </w:tcPr>
          <w:p w14:paraId="1D8A0959">
            <w:pPr>
              <w:jc w:val="left"/>
              <w:rPr>
                <w:rFonts w:ascii="宋体"/>
                <w:sz w:val="24"/>
                <w:szCs w:val="24"/>
              </w:rPr>
            </w:pPr>
          </w:p>
        </w:tc>
        <w:tc>
          <w:tcPr>
            <w:tcW w:w="2265" w:type="dxa"/>
            <w:shd w:val="clear" w:color="auto" w:fill="auto"/>
            <w:vAlign w:val="center"/>
          </w:tcPr>
          <w:p w14:paraId="151D28F0">
            <w:pPr>
              <w:pStyle w:val="7"/>
              <w:widowControl/>
              <w:spacing w:beforeAutospacing="0" w:afterAutospacing="0" w:line="324" w:lineRule="atLeast"/>
            </w:pPr>
            <w:r>
              <w:t>Power supply</w:t>
            </w:r>
          </w:p>
        </w:tc>
        <w:tc>
          <w:tcPr>
            <w:tcW w:w="5220" w:type="dxa"/>
            <w:shd w:val="clear" w:color="auto" w:fill="auto"/>
            <w:vAlign w:val="center"/>
          </w:tcPr>
          <w:p w14:paraId="67E3E8E3">
            <w:pPr>
              <w:pStyle w:val="7"/>
              <w:widowControl/>
              <w:spacing w:beforeAutospacing="0" w:afterAutospacing="0" w:line="324" w:lineRule="atLeast"/>
            </w:pPr>
            <w:r>
              <w:t>100~240VAC，50/60Hz</w:t>
            </w:r>
          </w:p>
        </w:tc>
      </w:tr>
      <w:tr w14:paraId="2C23C3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10" w:type="dxa"/>
            <w:vMerge w:val="continue"/>
            <w:shd w:val="clear" w:color="auto" w:fill="auto"/>
            <w:vAlign w:val="center"/>
          </w:tcPr>
          <w:p w14:paraId="5E699231">
            <w:pPr>
              <w:jc w:val="left"/>
              <w:rPr>
                <w:rFonts w:ascii="宋体"/>
                <w:sz w:val="24"/>
                <w:szCs w:val="24"/>
              </w:rPr>
            </w:pPr>
          </w:p>
        </w:tc>
        <w:tc>
          <w:tcPr>
            <w:tcW w:w="2265" w:type="dxa"/>
            <w:shd w:val="clear" w:color="auto" w:fill="auto"/>
            <w:vAlign w:val="center"/>
          </w:tcPr>
          <w:p w14:paraId="4B4BFA0D">
            <w:pPr>
              <w:pStyle w:val="7"/>
              <w:widowControl/>
              <w:spacing w:beforeAutospacing="0" w:afterAutospacing="0" w:line="324" w:lineRule="atLeast"/>
            </w:pPr>
            <w:r>
              <w:t>consumption</w:t>
            </w:r>
          </w:p>
        </w:tc>
        <w:tc>
          <w:tcPr>
            <w:tcW w:w="5220" w:type="dxa"/>
            <w:shd w:val="clear" w:color="auto" w:fill="auto"/>
            <w:vAlign w:val="center"/>
          </w:tcPr>
          <w:p w14:paraId="71C968BE">
            <w:pPr>
              <w:pStyle w:val="7"/>
              <w:widowControl/>
              <w:spacing w:beforeAutospacing="0" w:afterAutospacing="0" w:line="324" w:lineRule="atLeast"/>
            </w:pPr>
            <w:r>
              <w:t>20W</w:t>
            </w:r>
          </w:p>
        </w:tc>
      </w:tr>
    </w:tbl>
    <w:p w14:paraId="28029605">
      <w:pPr>
        <w:pStyle w:val="7"/>
        <w:widowControl/>
        <w:spacing w:beforeAutospacing="0" w:afterAutospacing="0" w:line="324" w:lineRule="atLeast"/>
      </w:pPr>
      <w:r>
        <w:rPr>
          <w:rFonts w:ascii="Verdana" w:hAnsi="Verdana" w:cs="Verdana"/>
          <w:color w:val="333333"/>
          <w:sz w:val="18"/>
          <w:szCs w:val="18"/>
          <w:shd w:val="clear" w:color="auto" w:fill="FEFCFD"/>
        </w:rPr>
        <w:t> </w:t>
      </w:r>
    </w:p>
    <w:p w14:paraId="37D1917B">
      <w:pPr>
        <w:widowControl/>
        <w:shd w:val="clear" w:color="auto" w:fill="F2F2F4"/>
        <w:jc w:val="left"/>
        <w:rPr>
          <w:rFonts w:ascii="Verdana" w:hAnsi="Verdana" w:cs="Verdana"/>
          <w:color w:val="333333"/>
          <w:sz w:val="18"/>
          <w:szCs w:val="18"/>
        </w:rPr>
      </w:pPr>
    </w:p>
    <w:p w14:paraId="0C083490">
      <w:pPr>
        <w:rPr>
          <w:rFonts w:ascii="Verdana" w:hAnsi="Verdana" w:cs="Verdana"/>
          <w:color w:val="000000"/>
          <w:sz w:val="28"/>
        </w:rPr>
      </w:pPr>
    </w:p>
    <w:p w14:paraId="471A7C27">
      <w:pPr>
        <w:rPr>
          <w:rFonts w:ascii="Verdana" w:hAnsi="Verdana" w:cs="Verdana"/>
          <w:b/>
          <w:color w:val="000000"/>
          <w:sz w:val="22"/>
        </w:rPr>
      </w:pPr>
      <w:r>
        <w:rPr>
          <w:rFonts w:hint="eastAsia" w:ascii="Verdana" w:hAnsi="Verdana" w:cs="Verdana"/>
          <w:b/>
          <w:color w:val="000000"/>
          <w:sz w:val="22"/>
        </w:rPr>
        <w:t>About Us</w:t>
      </w:r>
    </w:p>
    <w:p w14:paraId="3D0ECE09">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4A6EF534">
      <w:pPr>
        <w:rPr>
          <w:rFonts w:ascii="Verdana" w:hAnsi="Verdana" w:cs="Verdana"/>
          <w:color w:val="000000"/>
          <w:sz w:val="18"/>
        </w:rPr>
      </w:pPr>
    </w:p>
    <w:p w14:paraId="288F0F5D">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DDA5D">
    <w:pPr>
      <w:pStyle w:val="6"/>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3"/>
        <w:rFonts w:hint="eastAsia" w:ascii="微软雅黑" w:hAnsi="微软雅黑" w:eastAsia="微软雅黑"/>
      </w:rPr>
      <w:t>sales@fmuser.com</w:t>
    </w:r>
    <w:r>
      <w:rPr>
        <w:rStyle w:val="13"/>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3"/>
        <w:rFonts w:hint="eastAsia" w:ascii="微软雅黑" w:hAnsi="微软雅黑" w:eastAsia="微软雅黑"/>
      </w:rPr>
      <w:t>+8613922702227</w:t>
    </w:r>
    <w:r>
      <w:rPr>
        <w:rStyle w:val="13"/>
        <w:rFonts w:hint="eastAsia" w:ascii="微软雅黑" w:hAnsi="微软雅黑" w:eastAsia="微软雅黑"/>
      </w:rPr>
      <w:fldChar w:fldCharType="end"/>
    </w:r>
  </w:p>
  <w:p w14:paraId="1F00BC5B">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094AE">
    <w:pPr>
      <w:pStyle w:val="6"/>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3"/>
        <w:rFonts w:hint="eastAsia" w:ascii="微软雅黑" w:hAnsi="微软雅黑" w:eastAsia="微软雅黑"/>
      </w:rPr>
      <w:t>sales@fmuser.com</w:t>
    </w:r>
    <w:r>
      <w:rPr>
        <w:rStyle w:val="13"/>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3"/>
        <w:rFonts w:hint="eastAsia" w:ascii="微软雅黑" w:hAnsi="微软雅黑" w:eastAsia="微软雅黑"/>
      </w:rPr>
      <w:t>+8613922702227</w:t>
    </w:r>
    <w:r>
      <w:rPr>
        <w:rStyle w:val="13"/>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04552"/>
    <w:rsid w:val="001D0C80"/>
    <w:rsid w:val="001E63E5"/>
    <w:rsid w:val="00215238"/>
    <w:rsid w:val="00227839"/>
    <w:rsid w:val="00270F98"/>
    <w:rsid w:val="00324BAC"/>
    <w:rsid w:val="003743F3"/>
    <w:rsid w:val="003F2047"/>
    <w:rsid w:val="00444478"/>
    <w:rsid w:val="00453C05"/>
    <w:rsid w:val="00465307"/>
    <w:rsid w:val="0049468E"/>
    <w:rsid w:val="004C7952"/>
    <w:rsid w:val="00622ACE"/>
    <w:rsid w:val="00665764"/>
    <w:rsid w:val="00731840"/>
    <w:rsid w:val="007349B0"/>
    <w:rsid w:val="007359E2"/>
    <w:rsid w:val="0077681E"/>
    <w:rsid w:val="008D6808"/>
    <w:rsid w:val="00952937"/>
    <w:rsid w:val="009F011D"/>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1475330"/>
    <w:rsid w:val="033D434A"/>
    <w:rsid w:val="0A680B1B"/>
    <w:rsid w:val="0E714EC9"/>
    <w:rsid w:val="0FC87CEA"/>
    <w:rsid w:val="101C4557"/>
    <w:rsid w:val="15C25510"/>
    <w:rsid w:val="18AE427D"/>
    <w:rsid w:val="18E81EA3"/>
    <w:rsid w:val="1A2E05F5"/>
    <w:rsid w:val="1B974A15"/>
    <w:rsid w:val="1CDC4CA0"/>
    <w:rsid w:val="1FCC39C5"/>
    <w:rsid w:val="20F61905"/>
    <w:rsid w:val="2199682E"/>
    <w:rsid w:val="22D13428"/>
    <w:rsid w:val="239E3C7B"/>
    <w:rsid w:val="27B55639"/>
    <w:rsid w:val="2A752F8B"/>
    <w:rsid w:val="2C665CEA"/>
    <w:rsid w:val="2E0F6BE8"/>
    <w:rsid w:val="314F3E41"/>
    <w:rsid w:val="3B533162"/>
    <w:rsid w:val="45872050"/>
    <w:rsid w:val="47262382"/>
    <w:rsid w:val="478E224E"/>
    <w:rsid w:val="485E04E5"/>
    <w:rsid w:val="487316FE"/>
    <w:rsid w:val="4976594B"/>
    <w:rsid w:val="49B75FAC"/>
    <w:rsid w:val="4E4A4BF6"/>
    <w:rsid w:val="4F8D25ED"/>
    <w:rsid w:val="509F0F5A"/>
    <w:rsid w:val="51AD130D"/>
    <w:rsid w:val="540A3FAB"/>
    <w:rsid w:val="562E484B"/>
    <w:rsid w:val="56834992"/>
    <w:rsid w:val="587D7622"/>
    <w:rsid w:val="5930748A"/>
    <w:rsid w:val="59933671"/>
    <w:rsid w:val="5A095ED5"/>
    <w:rsid w:val="5AA83521"/>
    <w:rsid w:val="5C4B2219"/>
    <w:rsid w:val="5EEA5249"/>
    <w:rsid w:val="609213A6"/>
    <w:rsid w:val="61BA6334"/>
    <w:rsid w:val="63C27F07"/>
    <w:rsid w:val="68AD6386"/>
    <w:rsid w:val="6D7A6503"/>
    <w:rsid w:val="700623CD"/>
    <w:rsid w:val="70757613"/>
    <w:rsid w:val="70B756B4"/>
    <w:rsid w:val="73270F88"/>
    <w:rsid w:val="74455F31"/>
    <w:rsid w:val="7540100C"/>
    <w:rsid w:val="77935A18"/>
    <w:rsid w:val="7B8E7427"/>
    <w:rsid w:val="7EAE425E"/>
    <w:rsid w:val="7EE62B31"/>
    <w:rsid w:val="7F967854"/>
    <w:rsid w:val="7F9D4E73"/>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7"/>
    <w:semiHidden/>
    <w:unhideWhenUsed/>
    <w:qFormat/>
    <w:uiPriority w:val="99"/>
    <w:rPr>
      <w:sz w:val="18"/>
      <w:szCs w:val="18"/>
    </w:rPr>
  </w:style>
  <w:style w:type="paragraph" w:styleId="5">
    <w:name w:val="footer"/>
    <w:basedOn w:val="1"/>
    <w:link w:val="15"/>
    <w:semiHidden/>
    <w:unhideWhenUsed/>
    <w:qFormat/>
    <w:uiPriority w:val="99"/>
    <w:pPr>
      <w:tabs>
        <w:tab w:val="center" w:pos="4153"/>
        <w:tab w:val="right" w:pos="8306"/>
      </w:tabs>
      <w:snapToGrid w:val="0"/>
      <w:jc w:val="left"/>
    </w:pPr>
    <w:rPr>
      <w:sz w:val="18"/>
      <w:szCs w:val="18"/>
    </w:rPr>
  </w:style>
  <w:style w:type="paragraph" w:styleId="6">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Autospacing="1" w:afterAutospacing="1"/>
      <w:jc w:val="left"/>
    </w:pPr>
    <w:rPr>
      <w:rFonts w:cs="Times New Roman"/>
      <w:kern w:val="0"/>
      <w:sz w:val="24"/>
    </w:rPr>
  </w:style>
  <w:style w:type="table" w:styleId="9">
    <w:name w:val="Table Grid"/>
    <w:basedOn w:val="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1">
    <w:name w:val="Strong"/>
    <w:basedOn w:val="10"/>
    <w:qFormat/>
    <w:uiPriority w:val="22"/>
    <w:rPr>
      <w:b/>
    </w:rPr>
  </w:style>
  <w:style w:type="character" w:styleId="12">
    <w:name w:val="FollowedHyperlink"/>
    <w:basedOn w:val="10"/>
    <w:semiHidden/>
    <w:unhideWhenUsed/>
    <w:qFormat/>
    <w:uiPriority w:val="99"/>
    <w:rPr>
      <w:color w:val="800080" w:themeColor="followedHyperlink"/>
      <w:u w:val="single"/>
    </w:rPr>
  </w:style>
  <w:style w:type="character" w:styleId="13">
    <w:name w:val="Hyperlink"/>
    <w:basedOn w:val="10"/>
    <w:unhideWhenUsed/>
    <w:qFormat/>
    <w:uiPriority w:val="99"/>
    <w:rPr>
      <w:color w:val="0000FF"/>
      <w:u w:val="single"/>
    </w:rPr>
  </w:style>
  <w:style w:type="character" w:customStyle="1" w:styleId="14">
    <w:name w:val="页眉 Char"/>
    <w:basedOn w:val="10"/>
    <w:link w:val="6"/>
    <w:semiHidden/>
    <w:qFormat/>
    <w:uiPriority w:val="99"/>
    <w:rPr>
      <w:sz w:val="18"/>
      <w:szCs w:val="18"/>
    </w:rPr>
  </w:style>
  <w:style w:type="character" w:customStyle="1" w:styleId="15">
    <w:name w:val="页脚 Char"/>
    <w:basedOn w:val="10"/>
    <w:link w:val="5"/>
    <w:semiHidden/>
    <w:qFormat/>
    <w:uiPriority w:val="99"/>
    <w:rPr>
      <w:sz w:val="18"/>
      <w:szCs w:val="18"/>
    </w:rPr>
  </w:style>
  <w:style w:type="paragraph" w:styleId="16">
    <w:name w:val="List Paragraph"/>
    <w:basedOn w:val="1"/>
    <w:qFormat/>
    <w:uiPriority w:val="34"/>
    <w:pPr>
      <w:ind w:firstLine="420" w:firstLineChars="200"/>
    </w:pPr>
    <w:rPr>
      <w:rFonts w:ascii="Times New Roman" w:hAnsi="Times New Roman" w:eastAsia="宋体" w:cs="Times New Roman"/>
      <w:szCs w:val="24"/>
    </w:rPr>
  </w:style>
  <w:style w:type="character" w:customStyle="1" w:styleId="17">
    <w:name w:val="批注框文本 Char"/>
    <w:basedOn w:val="10"/>
    <w:link w:val="4"/>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Gateway/3508A/3EEECN_20171024104416.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262</Words>
  <Characters>1529</Characters>
  <Lines>13</Lines>
  <Paragraphs>3</Paragraphs>
  <TotalTime>0</TotalTime>
  <ScaleCrop>false</ScaleCrop>
  <LinksUpToDate>false</LinksUpToDate>
  <CharactersWithSpaces>1810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2025-08-20T07:41:12Z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