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4BF5A">
      <w:pPr>
        <w:pStyle w:val="2"/>
        <w:widowControl/>
        <w:spacing w:beforeAutospacing="0" w:afterAutospacing="0" w:line="324" w:lineRule="atLeast"/>
        <w:jc w:val="center"/>
        <w:rPr>
          <w:rFonts w:hint="default" w:ascii="Verdana" w:hAnsi="Verdana" w:cs="Verdana"/>
          <w:b w:val="0"/>
          <w:color w:val="000000"/>
          <w:sz w:val="28"/>
        </w:rPr>
      </w:pPr>
      <w:r>
        <w:rPr>
          <w:rFonts w:hint="eastAsia" w:ascii="Verdana" w:hAnsi="Verdana" w:cs="Verdana"/>
          <w:b/>
          <w:i w:val="0"/>
          <w:strike w:val="0"/>
          <w:color w:val="000000"/>
          <w:sz w:val="22"/>
          <w:lang w:eastAsia="zh-CN"/>
        </w:rPr>
        <w:t>FMUSER FUQ-4619B ASI to IP Gateway 8-Channel ASI Input 1 GE IP Output UDP-RTP-RTSP BISS Descrambling SPTS Conversion for Broadcast Headend</w:t>
      </w:r>
      <w:bookmarkStart w:id="0" w:name="_GoBack"/>
      <w:r>
        <w:rPr>
          <w:rFonts w:hint="default" w:ascii="Verdana" w:hAnsi="Verdana" w:cs="Verdana"/>
          <w:b w:val="0"/>
          <w:color w:val="000000"/>
          <w:sz w:val="28"/>
        </w:rPr>
        <w:drawing>
          <wp:inline distT="0" distB="0" distL="114300" distR="114300">
            <wp:extent cx="6181725" cy="3400425"/>
            <wp:effectExtent l="0" t="0" r="9525" b="9525"/>
            <wp:docPr id="1" name="图片 1" descr="3EEECN_20171024104026"/>
            <wp:cNvGraphicFramePr/>
            <a:graphic xmlns:a="http://schemas.openxmlformats.org/drawingml/2006/main">
              <a:graphicData uri="http://schemas.openxmlformats.org/drawingml/2006/picture">
                <pic:pic xmlns:pic="http://schemas.openxmlformats.org/drawingml/2006/picture">
                  <pic:nvPicPr>
                    <pic:cNvPr id="1" name="图片 1" descr="3EEECN_20171024104026"/>
                    <pic:cNvPicPr/>
                  </pic:nvPicPr>
                  <pic:blipFill>
                    <a:blip r:embed="rId6"/>
                    <a:stretch>
                      <a:fillRect/>
                    </a:stretch>
                  </pic:blipFill>
                  <pic:spPr>
                    <a:xfrm>
                      <a:off x="0" y="0"/>
                      <a:ext cx="6181725" cy="3400425"/>
                    </a:xfrm>
                    <a:prstGeom prst="rect">
                      <a:avLst/>
                    </a:prstGeom>
                  </pic:spPr>
                </pic:pic>
              </a:graphicData>
            </a:graphic>
          </wp:inline>
        </w:drawing>
      </w:r>
      <w:bookmarkEnd w:id="0"/>
    </w:p>
    <w:p w14:paraId="664B1D6B">
      <w:pPr>
        <w:pStyle w:val="7"/>
        <w:widowControl/>
        <w:spacing w:beforeAutospacing="0" w:afterAutospacing="0" w:line="324" w:lineRule="atLeast"/>
        <w:rPr>
          <w:rStyle w:val="11"/>
          <w:rFonts w:hint="eastAsia" w:ascii="Verdana" w:hAnsi="Verdana" w:eastAsia="宋体" w:cs="Verdana"/>
          <w:color w:val="333333"/>
          <w:sz w:val="21"/>
          <w:szCs w:val="21"/>
          <w:shd w:val="clear" w:color="auto" w:fill="FEFCFD"/>
          <w:lang w:eastAsia="zh-CN"/>
        </w:rPr>
      </w:pPr>
      <w:r>
        <w:rPr>
          <w:rStyle w:val="11"/>
          <w:rFonts w:hint="eastAsia" w:ascii="Verdana" w:hAnsi="Verdana" w:eastAsia="宋体" w:cs="Verdana"/>
          <w:color w:val="333333"/>
          <w:sz w:val="21"/>
          <w:szCs w:val="21"/>
          <w:shd w:val="clear" w:color="auto" w:fill="FEFCFD"/>
          <w:lang w:eastAsia="zh-CN"/>
        </w:rPr>
        <w:t>Product overview</w:t>
      </w:r>
    </w:p>
    <w:p w14:paraId="64FFFCC1">
      <w:pPr>
        <w:pStyle w:val="2"/>
        <w:widowControl/>
        <w:spacing w:beforeAutospacing="0" w:afterAutospacing="0" w:line="324" w:lineRule="atLeast"/>
        <w:rPr>
          <w:rFonts w:hint="default"/>
        </w:rPr>
      </w:pPr>
      <w:r>
        <w:rPr>
          <w:rFonts w:hint="eastAsia" w:ascii="Verdana" w:hAnsi="Verdana" w:cs="Verdana" w:eastAsiaTheme="minorEastAsia"/>
          <w:b w:val="0"/>
          <w:bCs w:val="0"/>
          <w:color w:val="333333"/>
          <w:kern w:val="0"/>
          <w:sz w:val="18"/>
          <w:szCs w:val="18"/>
          <w:shd w:val="clear" w:color="auto" w:fill="FEFCFD"/>
          <w:lang w:val="en-US" w:eastAsia="zh-CN" w:bidi="ar-SA"/>
        </w:rPr>
        <w:t>The FUQ-4619B ASI to IP Gateway converts 8x ASI signals to IP streams (UDP/RTP/RTSP) with BISS Mode 1/E descrambling. It processes inputs into SPTS outputs (256/32/20 modes) at up to 800Mbps via 1 GE port. This 1RU rack-mount device supports dual control via LCD/keyboard or SNMP/Web. Ideal for satellite content distribution and multi-platform IPTV headends requiring secure, high-throughput conversion.</w:t>
      </w:r>
      <w:r>
        <w:rPr>
          <w:color w:val="333333"/>
          <w:shd w:val="clear" w:color="auto" w:fill="FEFCFD"/>
        </w:rPr>
        <w:t> </w:t>
      </w:r>
    </w:p>
    <w:p w14:paraId="1D44F1B5">
      <w:pPr>
        <w:pStyle w:val="7"/>
        <w:widowControl/>
        <w:spacing w:beforeAutospacing="0" w:afterAutospacing="0" w:line="324" w:lineRule="atLeast"/>
        <w:rPr>
          <w:rStyle w:val="11"/>
          <w:rFonts w:hint="eastAsia" w:ascii="Verdana" w:hAnsi="Verdana" w:eastAsia="宋体" w:cs="Verdana"/>
          <w:color w:val="333333"/>
          <w:sz w:val="21"/>
          <w:szCs w:val="21"/>
          <w:shd w:val="clear" w:color="auto" w:fill="FEFCFD"/>
          <w:lang w:val="en-US" w:eastAsia="zh-CN"/>
        </w:rPr>
      </w:pPr>
      <w:r>
        <w:rPr>
          <w:rStyle w:val="11"/>
          <w:rFonts w:hint="eastAsia" w:ascii="Verdana" w:hAnsi="Verdana" w:eastAsia="宋体" w:cs="Verdana"/>
          <w:color w:val="333333"/>
          <w:sz w:val="21"/>
          <w:szCs w:val="21"/>
          <w:shd w:val="clear" w:color="auto" w:fill="FEFCFD"/>
          <w:lang w:val="en-US" w:eastAsia="zh-CN"/>
        </w:rPr>
        <w:t>Key feature</w:t>
      </w:r>
    </w:p>
    <w:p w14:paraId="30C22D2E">
      <w:pPr>
        <w:pStyle w:val="7"/>
        <w:widowControl/>
        <w:spacing w:beforeAutospacing="0" w:afterAutospacing="0" w:line="324" w:lineRule="atLeast"/>
      </w:pPr>
      <w:r>
        <w:rPr>
          <w:rFonts w:hint="eastAsia" w:ascii="Verdana" w:hAnsi="Verdana" w:cs="Verdana"/>
          <w:color w:val="333333"/>
          <w:sz w:val="18"/>
          <w:szCs w:val="18"/>
          <w:shd w:val="clear" w:color="auto" w:fill="FEFCFD"/>
        </w:rPr>
        <w:t>Dual control via LCD/keyboard and SNMP/Web interfaces</w:t>
      </w:r>
      <w:r>
        <w:rPr>
          <w:rFonts w:ascii="Verdana" w:hAnsi="Verdana" w:cs="Verdana"/>
          <w:color w:val="333333"/>
          <w:sz w:val="18"/>
          <w:szCs w:val="18"/>
          <w:shd w:val="clear" w:color="auto" w:fill="FEFCFD"/>
        </w:rPr>
        <w:t> </w:t>
      </w:r>
    </w:p>
    <w:p w14:paraId="04D8B2A8">
      <w:pPr>
        <w:pStyle w:val="7"/>
        <w:widowControl/>
        <w:spacing w:beforeAutospacing="0" w:afterAutospacing="0" w:line="324" w:lineRule="atLeast"/>
      </w:pPr>
      <w:r>
        <w:rPr>
          <w:rStyle w:val="11"/>
          <w:rFonts w:ascii="Verdana" w:hAnsi="Verdana" w:cs="Verdana"/>
          <w:color w:val="333333"/>
          <w:sz w:val="21"/>
          <w:szCs w:val="21"/>
          <w:shd w:val="clear" w:color="auto" w:fill="FEFCFD"/>
        </w:rPr>
        <w:t>Principle Chart</w:t>
      </w:r>
    </w:p>
    <w:p w14:paraId="7D8CACD8">
      <w:pPr>
        <w:pStyle w:val="2"/>
        <w:widowControl/>
        <w:spacing w:beforeAutospacing="0" w:afterAutospacing="0" w:line="324" w:lineRule="atLeast"/>
        <w:jc w:val="center"/>
        <w:rPr>
          <w:rFonts w:hint="default"/>
        </w:rPr>
      </w:pPr>
      <w:r>
        <w:rPr>
          <w:color w:val="333333"/>
          <w:shd w:val="clear" w:color="auto" w:fill="FEFCFD"/>
        </w:rPr>
        <w:drawing>
          <wp:inline distT="0" distB="0" distL="114300" distR="114300">
            <wp:extent cx="4286250" cy="2867025"/>
            <wp:effectExtent l="0" t="0" r="0" b="952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286250" cy="2867025"/>
                    </a:xfrm>
                    <a:prstGeom prst="rect">
                      <a:avLst/>
                    </a:prstGeom>
                    <a:noFill/>
                    <a:ln w="9525">
                      <a:noFill/>
                    </a:ln>
                  </pic:spPr>
                </pic:pic>
              </a:graphicData>
            </a:graphic>
          </wp:inline>
        </w:drawing>
      </w:r>
    </w:p>
    <w:p w14:paraId="1BD799B4">
      <w:pPr>
        <w:pStyle w:val="2"/>
        <w:widowControl/>
        <w:spacing w:beforeAutospacing="0" w:afterAutospacing="0" w:line="324" w:lineRule="atLeast"/>
        <w:rPr>
          <w:rFonts w:hint="default"/>
        </w:rPr>
      </w:pPr>
      <w:r>
        <w:rPr>
          <w:color w:val="333333"/>
          <w:sz w:val="21"/>
          <w:szCs w:val="21"/>
          <w:shd w:val="clear" w:color="auto" w:fill="FEFCFD"/>
        </w:rPr>
        <w:t>Specification</w:t>
      </w:r>
    </w:p>
    <w:p w14:paraId="75C2F4AD">
      <w:pPr>
        <w:pStyle w:val="7"/>
        <w:widowControl/>
        <w:spacing w:beforeAutospacing="0" w:afterAutospacing="0" w:line="324" w:lineRule="atLeast"/>
      </w:pPr>
      <w:r>
        <w:rPr>
          <w:rFonts w:ascii="Verdana" w:hAnsi="Verdana" w:cs="Verdana"/>
          <w:color w:val="333333"/>
          <w:sz w:val="18"/>
          <w:szCs w:val="18"/>
          <w:shd w:val="clear" w:color="auto" w:fill="FEFCFD"/>
        </w:rPr>
        <w:t> </w:t>
      </w:r>
    </w:p>
    <w:tbl>
      <w:tblPr>
        <w:tblStyle w:val="8"/>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545"/>
        <w:gridCol w:w="2483"/>
        <w:gridCol w:w="5722"/>
      </w:tblGrid>
      <w:tr w14:paraId="614AF5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5" w:hRule="atLeast"/>
          <w:tblCellSpacing w:w="0" w:type="dxa"/>
        </w:trPr>
        <w:tc>
          <w:tcPr>
            <w:tcW w:w="1410" w:type="dxa"/>
            <w:shd w:val="clear" w:color="auto" w:fill="auto"/>
            <w:vAlign w:val="center"/>
          </w:tcPr>
          <w:p w14:paraId="6C6C05BD">
            <w:pPr>
              <w:pStyle w:val="7"/>
              <w:widowControl/>
              <w:spacing w:beforeAutospacing="0" w:afterAutospacing="0" w:line="324" w:lineRule="atLeast"/>
            </w:pPr>
            <w:r>
              <w:rPr>
                <w:rStyle w:val="11"/>
              </w:rPr>
              <w:t>Input</w:t>
            </w:r>
          </w:p>
        </w:tc>
        <w:tc>
          <w:tcPr>
            <w:tcW w:w="7485" w:type="dxa"/>
            <w:gridSpan w:val="2"/>
            <w:shd w:val="clear" w:color="auto" w:fill="auto"/>
            <w:vAlign w:val="center"/>
          </w:tcPr>
          <w:p w14:paraId="5B10B989">
            <w:pPr>
              <w:pStyle w:val="7"/>
              <w:widowControl/>
              <w:spacing w:beforeAutospacing="0" w:afterAutospacing="0" w:line="324" w:lineRule="atLeast"/>
            </w:pPr>
            <w:r>
              <w:t xml:space="preserve">8 ASI input                                         </w:t>
            </w:r>
            <w:r>
              <w:softHyphen/>
            </w:r>
            <w:r>
              <w:t>    </w:t>
            </w:r>
          </w:p>
        </w:tc>
      </w:tr>
      <w:tr w14:paraId="39BAF9A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shd w:val="clear" w:color="auto" w:fill="auto"/>
            <w:vAlign w:val="center"/>
          </w:tcPr>
          <w:p w14:paraId="38688A7E">
            <w:pPr>
              <w:pStyle w:val="7"/>
              <w:widowControl/>
              <w:spacing w:beforeAutospacing="0" w:afterAutospacing="0" w:line="324" w:lineRule="atLeast"/>
            </w:pPr>
            <w:r>
              <w:rPr>
                <w:rStyle w:val="11"/>
              </w:rPr>
              <w:t>Output</w:t>
            </w:r>
          </w:p>
        </w:tc>
        <w:tc>
          <w:tcPr>
            <w:tcW w:w="7485" w:type="dxa"/>
            <w:gridSpan w:val="2"/>
            <w:shd w:val="clear" w:color="auto" w:fill="auto"/>
            <w:vAlign w:val="center"/>
          </w:tcPr>
          <w:p w14:paraId="7E012B1A">
            <w:pPr>
              <w:pStyle w:val="7"/>
              <w:widowControl/>
              <w:spacing w:beforeAutospacing="0" w:afterAutospacing="0" w:line="324" w:lineRule="atLeast"/>
            </w:pPr>
            <w:r>
              <w:t>1 GE output, UDP, RTP/RTSP protocol, unicast and Multicast</w:t>
            </w:r>
          </w:p>
          <w:p w14:paraId="74061328">
            <w:pPr>
              <w:pStyle w:val="7"/>
              <w:widowControl/>
              <w:spacing w:beforeAutospacing="0" w:afterAutospacing="0" w:line="324" w:lineRule="atLeast"/>
            </w:pPr>
            <w:r>
              <w:t>256 SPTS output — Without BISS function and IP null packet filter</w:t>
            </w:r>
          </w:p>
          <w:p w14:paraId="61F35620">
            <w:pPr>
              <w:pStyle w:val="7"/>
              <w:widowControl/>
              <w:spacing w:beforeAutospacing="0" w:afterAutospacing="0" w:line="324" w:lineRule="atLeast"/>
            </w:pPr>
            <w:r>
              <w:t>32 SPTS output — Without BISS function</w:t>
            </w:r>
          </w:p>
          <w:p w14:paraId="3CFFE843">
            <w:pPr>
              <w:pStyle w:val="7"/>
              <w:widowControl/>
              <w:spacing w:beforeAutospacing="0" w:afterAutospacing="0" w:line="324" w:lineRule="atLeast"/>
            </w:pPr>
            <w:r>
              <w:t>20 SPTS output — With BISS function</w:t>
            </w:r>
          </w:p>
        </w:tc>
      </w:tr>
      <w:tr w14:paraId="1B69F8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shd w:val="clear" w:color="auto" w:fill="auto"/>
            <w:vAlign w:val="center"/>
          </w:tcPr>
          <w:p w14:paraId="16D7DEC8">
            <w:pPr>
              <w:pStyle w:val="7"/>
              <w:widowControl/>
              <w:spacing w:beforeAutospacing="0" w:afterAutospacing="0" w:line="324" w:lineRule="atLeast"/>
            </w:pPr>
            <w:r>
              <w:rPr>
                <w:rStyle w:val="11"/>
              </w:rPr>
              <w:t>BISS descrambling</w:t>
            </w:r>
          </w:p>
        </w:tc>
        <w:tc>
          <w:tcPr>
            <w:tcW w:w="7485" w:type="dxa"/>
            <w:gridSpan w:val="2"/>
            <w:shd w:val="clear" w:color="auto" w:fill="auto"/>
            <w:vAlign w:val="center"/>
          </w:tcPr>
          <w:p w14:paraId="48BE504D">
            <w:pPr>
              <w:pStyle w:val="7"/>
              <w:widowControl/>
              <w:spacing w:beforeAutospacing="0" w:afterAutospacing="0" w:line="324" w:lineRule="atLeast"/>
            </w:pPr>
            <w:r>
              <w:t>Mode 1, Mode E</w:t>
            </w:r>
          </w:p>
        </w:tc>
      </w:tr>
      <w:tr w14:paraId="6DFD39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trPr>
        <w:tc>
          <w:tcPr>
            <w:tcW w:w="3675" w:type="dxa"/>
            <w:gridSpan w:val="2"/>
            <w:vMerge w:val="restart"/>
            <w:shd w:val="clear" w:color="auto" w:fill="auto"/>
            <w:vAlign w:val="center"/>
          </w:tcPr>
          <w:p w14:paraId="0483255D">
            <w:pPr>
              <w:pStyle w:val="7"/>
              <w:widowControl/>
              <w:spacing w:beforeAutospacing="0" w:afterAutospacing="0" w:line="324" w:lineRule="atLeast"/>
            </w:pPr>
            <w:r>
              <w:rPr>
                <w:rStyle w:val="11"/>
              </w:rPr>
              <w:t>Transmission Bit-rate</w:t>
            </w:r>
          </w:p>
        </w:tc>
        <w:tc>
          <w:tcPr>
            <w:tcW w:w="5220" w:type="dxa"/>
            <w:shd w:val="clear" w:color="auto" w:fill="auto"/>
            <w:vAlign w:val="center"/>
          </w:tcPr>
          <w:p w14:paraId="423F6FC2">
            <w:pPr>
              <w:pStyle w:val="7"/>
              <w:widowControl/>
              <w:spacing w:beforeAutospacing="0" w:afterAutospacing="0" w:line="324" w:lineRule="atLeast"/>
            </w:pPr>
            <w:r>
              <w:t>Maximum total bit-rate is 400Mbps—256 SPTS output</w:t>
            </w:r>
          </w:p>
        </w:tc>
      </w:tr>
      <w:tr w14:paraId="5A4F05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3675" w:type="dxa"/>
            <w:gridSpan w:val="2"/>
            <w:vMerge w:val="continue"/>
            <w:shd w:val="clear" w:color="auto" w:fill="auto"/>
            <w:vAlign w:val="center"/>
          </w:tcPr>
          <w:p w14:paraId="33C2CB8B">
            <w:pPr>
              <w:jc w:val="left"/>
              <w:rPr>
                <w:rFonts w:ascii="宋体"/>
                <w:sz w:val="24"/>
                <w:szCs w:val="24"/>
              </w:rPr>
            </w:pPr>
          </w:p>
        </w:tc>
        <w:tc>
          <w:tcPr>
            <w:tcW w:w="5220" w:type="dxa"/>
            <w:shd w:val="clear" w:color="auto" w:fill="auto"/>
            <w:vAlign w:val="center"/>
          </w:tcPr>
          <w:p w14:paraId="74ECBFC4">
            <w:pPr>
              <w:pStyle w:val="7"/>
              <w:widowControl/>
              <w:spacing w:beforeAutospacing="0" w:afterAutospacing="0" w:line="324" w:lineRule="atLeast"/>
            </w:pPr>
            <w:r>
              <w:t>Maximum total bit-rate is 800Mbps—32/20 SPTS output</w:t>
            </w:r>
          </w:p>
        </w:tc>
      </w:tr>
      <w:tr w14:paraId="3C4709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restart"/>
            <w:shd w:val="clear" w:color="auto" w:fill="auto"/>
            <w:vAlign w:val="center"/>
          </w:tcPr>
          <w:p w14:paraId="02F489A1">
            <w:pPr>
              <w:pStyle w:val="7"/>
              <w:widowControl/>
              <w:spacing w:beforeAutospacing="0" w:afterAutospacing="0" w:line="324" w:lineRule="atLeast"/>
            </w:pPr>
            <w:r>
              <w:rPr>
                <w:rStyle w:val="11"/>
              </w:rPr>
              <w:t>General</w:t>
            </w:r>
          </w:p>
        </w:tc>
        <w:tc>
          <w:tcPr>
            <w:tcW w:w="2265" w:type="dxa"/>
            <w:shd w:val="clear" w:color="auto" w:fill="auto"/>
            <w:vAlign w:val="center"/>
          </w:tcPr>
          <w:p w14:paraId="79B5AE34">
            <w:pPr>
              <w:pStyle w:val="7"/>
              <w:widowControl/>
              <w:spacing w:beforeAutospacing="0" w:afterAutospacing="0" w:line="324" w:lineRule="atLeast"/>
            </w:pPr>
            <w:r>
              <w:t>Dimension(WxLxH)</w:t>
            </w:r>
          </w:p>
        </w:tc>
        <w:tc>
          <w:tcPr>
            <w:tcW w:w="5220" w:type="dxa"/>
            <w:shd w:val="clear" w:color="auto" w:fill="auto"/>
            <w:vAlign w:val="center"/>
          </w:tcPr>
          <w:p w14:paraId="61665C90">
            <w:pPr>
              <w:pStyle w:val="7"/>
              <w:widowControl/>
              <w:spacing w:beforeAutospacing="0" w:afterAutospacing="0" w:line="324" w:lineRule="atLeast"/>
            </w:pPr>
            <w:r>
              <w:t>482mm×410mm×44mm</w:t>
            </w:r>
          </w:p>
        </w:tc>
      </w:tr>
      <w:tr w14:paraId="3C276F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6CBD5500">
            <w:pPr>
              <w:jc w:val="left"/>
              <w:rPr>
                <w:rFonts w:ascii="宋体"/>
                <w:sz w:val="24"/>
                <w:szCs w:val="24"/>
              </w:rPr>
            </w:pPr>
          </w:p>
        </w:tc>
        <w:tc>
          <w:tcPr>
            <w:tcW w:w="2265" w:type="dxa"/>
            <w:shd w:val="clear" w:color="auto" w:fill="auto"/>
            <w:vAlign w:val="center"/>
          </w:tcPr>
          <w:p w14:paraId="3EC95B18">
            <w:pPr>
              <w:pStyle w:val="7"/>
              <w:widowControl/>
              <w:spacing w:beforeAutospacing="0" w:afterAutospacing="0" w:line="324" w:lineRule="atLeast"/>
            </w:pPr>
            <w:r>
              <w:t>Weight</w:t>
            </w:r>
          </w:p>
        </w:tc>
        <w:tc>
          <w:tcPr>
            <w:tcW w:w="5220" w:type="dxa"/>
            <w:shd w:val="clear" w:color="auto" w:fill="auto"/>
            <w:vAlign w:val="center"/>
          </w:tcPr>
          <w:p w14:paraId="0A2773E7">
            <w:pPr>
              <w:pStyle w:val="7"/>
              <w:widowControl/>
              <w:spacing w:beforeAutospacing="0" w:afterAutospacing="0" w:line="324" w:lineRule="atLeast"/>
            </w:pPr>
            <w:r>
              <w:t>3.6kg</w:t>
            </w:r>
          </w:p>
        </w:tc>
      </w:tr>
      <w:tr w14:paraId="66DBC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2C0DB7C0">
            <w:pPr>
              <w:jc w:val="left"/>
              <w:rPr>
                <w:rFonts w:ascii="宋体"/>
                <w:sz w:val="24"/>
                <w:szCs w:val="24"/>
              </w:rPr>
            </w:pPr>
          </w:p>
        </w:tc>
        <w:tc>
          <w:tcPr>
            <w:tcW w:w="2265" w:type="dxa"/>
            <w:shd w:val="clear" w:color="auto" w:fill="auto"/>
            <w:vAlign w:val="center"/>
          </w:tcPr>
          <w:p w14:paraId="34086444">
            <w:pPr>
              <w:pStyle w:val="7"/>
              <w:widowControl/>
              <w:spacing w:beforeAutospacing="0" w:afterAutospacing="0" w:line="324" w:lineRule="atLeast"/>
            </w:pPr>
            <w:r>
              <w:t>Temperature</w:t>
            </w:r>
          </w:p>
        </w:tc>
        <w:tc>
          <w:tcPr>
            <w:tcW w:w="5220" w:type="dxa"/>
            <w:shd w:val="clear" w:color="auto" w:fill="auto"/>
            <w:vAlign w:val="center"/>
          </w:tcPr>
          <w:p w14:paraId="112FF620">
            <w:pPr>
              <w:pStyle w:val="7"/>
              <w:widowControl/>
              <w:spacing w:beforeAutospacing="0" w:afterAutospacing="0" w:line="324" w:lineRule="atLeast"/>
            </w:pPr>
            <w:r>
              <w:t>0~45℃(working )，-20~80℃(storage)</w:t>
            </w:r>
          </w:p>
        </w:tc>
      </w:tr>
      <w:tr w14:paraId="268DD7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1E893783">
            <w:pPr>
              <w:jc w:val="left"/>
              <w:rPr>
                <w:rFonts w:ascii="宋体"/>
                <w:sz w:val="24"/>
                <w:szCs w:val="24"/>
              </w:rPr>
            </w:pPr>
          </w:p>
        </w:tc>
        <w:tc>
          <w:tcPr>
            <w:tcW w:w="2265" w:type="dxa"/>
            <w:shd w:val="clear" w:color="auto" w:fill="auto"/>
            <w:vAlign w:val="center"/>
          </w:tcPr>
          <w:p w14:paraId="6A4CB19E">
            <w:pPr>
              <w:pStyle w:val="7"/>
              <w:widowControl/>
              <w:spacing w:beforeAutospacing="0" w:afterAutospacing="0" w:line="324" w:lineRule="atLeast"/>
            </w:pPr>
            <w:r>
              <w:t>Power supply</w:t>
            </w:r>
          </w:p>
        </w:tc>
        <w:tc>
          <w:tcPr>
            <w:tcW w:w="5220" w:type="dxa"/>
            <w:shd w:val="clear" w:color="auto" w:fill="auto"/>
            <w:vAlign w:val="center"/>
          </w:tcPr>
          <w:p w14:paraId="753C7E45">
            <w:pPr>
              <w:pStyle w:val="7"/>
              <w:widowControl/>
              <w:spacing w:beforeAutospacing="0" w:afterAutospacing="0" w:line="324" w:lineRule="atLeast"/>
            </w:pPr>
            <w:r>
              <w:t>100~240VAC，50/60Hz</w:t>
            </w:r>
          </w:p>
        </w:tc>
      </w:tr>
      <w:tr w14:paraId="552B66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10" w:type="dxa"/>
            <w:vMerge w:val="continue"/>
            <w:shd w:val="clear" w:color="auto" w:fill="auto"/>
            <w:vAlign w:val="center"/>
          </w:tcPr>
          <w:p w14:paraId="6F49C79C">
            <w:pPr>
              <w:jc w:val="left"/>
              <w:rPr>
                <w:rFonts w:ascii="宋体"/>
                <w:sz w:val="24"/>
                <w:szCs w:val="24"/>
              </w:rPr>
            </w:pPr>
          </w:p>
        </w:tc>
        <w:tc>
          <w:tcPr>
            <w:tcW w:w="2265" w:type="dxa"/>
            <w:shd w:val="clear" w:color="auto" w:fill="auto"/>
            <w:vAlign w:val="center"/>
          </w:tcPr>
          <w:p w14:paraId="6E25E5A4">
            <w:pPr>
              <w:pStyle w:val="7"/>
              <w:widowControl/>
              <w:spacing w:beforeAutospacing="0" w:afterAutospacing="0" w:line="324" w:lineRule="atLeast"/>
            </w:pPr>
            <w:r>
              <w:t>consumption</w:t>
            </w:r>
          </w:p>
        </w:tc>
        <w:tc>
          <w:tcPr>
            <w:tcW w:w="5220" w:type="dxa"/>
            <w:shd w:val="clear" w:color="auto" w:fill="auto"/>
            <w:vAlign w:val="center"/>
          </w:tcPr>
          <w:p w14:paraId="509D6AAB">
            <w:pPr>
              <w:pStyle w:val="7"/>
              <w:widowControl/>
              <w:spacing w:beforeAutospacing="0" w:afterAutospacing="0" w:line="324" w:lineRule="atLeast"/>
            </w:pPr>
            <w:r>
              <w:t>20W</w:t>
            </w:r>
          </w:p>
        </w:tc>
      </w:tr>
    </w:tbl>
    <w:p w14:paraId="1BAA3763">
      <w:pPr>
        <w:pStyle w:val="7"/>
        <w:widowControl/>
        <w:spacing w:beforeAutospacing="0" w:afterAutospacing="0" w:line="324" w:lineRule="atLeast"/>
      </w:pPr>
      <w:r>
        <w:rPr>
          <w:rFonts w:ascii="Verdana" w:hAnsi="Verdana" w:cs="Verdana"/>
          <w:color w:val="333333"/>
          <w:sz w:val="18"/>
          <w:szCs w:val="18"/>
          <w:shd w:val="clear" w:color="auto" w:fill="FEFCFD"/>
        </w:rPr>
        <w:t> </w:t>
      </w:r>
    </w:p>
    <w:p w14:paraId="3ED69FE5">
      <w:pPr>
        <w:widowControl/>
        <w:shd w:val="clear" w:color="auto" w:fill="F2F2F4"/>
        <w:jc w:val="left"/>
        <w:rPr>
          <w:rFonts w:ascii="Verdana" w:hAnsi="Verdana" w:cs="Verdana"/>
          <w:color w:val="333333"/>
          <w:sz w:val="18"/>
          <w:szCs w:val="18"/>
        </w:rPr>
      </w:pPr>
    </w:p>
    <w:p w14:paraId="22669945">
      <w:pPr>
        <w:rPr>
          <w:rFonts w:ascii="Verdana" w:hAnsi="Verdana" w:cs="Verdana"/>
          <w:color w:val="000000"/>
          <w:sz w:val="28"/>
        </w:rPr>
      </w:pPr>
    </w:p>
    <w:p w14:paraId="6E308EC1">
      <w:pPr>
        <w:rPr>
          <w:rFonts w:ascii="Verdana" w:hAnsi="Verdana" w:cs="Verdana"/>
          <w:b/>
          <w:color w:val="000000"/>
          <w:sz w:val="22"/>
        </w:rPr>
      </w:pPr>
      <w:r>
        <w:rPr>
          <w:rFonts w:hint="eastAsia" w:ascii="Verdana" w:hAnsi="Verdana" w:cs="Verdana"/>
          <w:b/>
          <w:color w:val="000000"/>
          <w:sz w:val="22"/>
        </w:rPr>
        <w:t>About Us</w:t>
      </w:r>
    </w:p>
    <w:p w14:paraId="6EA664C9">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F0BE8EE">
      <w:pPr>
        <w:rPr>
          <w:rFonts w:ascii="Verdana" w:hAnsi="Verdana" w:cs="Verdana"/>
          <w:color w:val="000000"/>
          <w:sz w:val="18"/>
        </w:rPr>
      </w:pPr>
    </w:p>
    <w:p w14:paraId="076288F3">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DDBEB">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3"/>
        <w:rFonts w:hint="eastAsia" w:ascii="微软雅黑" w:hAnsi="微软雅黑" w:eastAsia="微软雅黑"/>
      </w:rPr>
      <w:t>sales@fmuser.com</w:t>
    </w:r>
    <w:r>
      <w:rPr>
        <w:rStyle w:val="13"/>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57FCB47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EBD00">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3"/>
        <w:rFonts w:hint="eastAsia" w:ascii="微软雅黑" w:hAnsi="微软雅黑" w:eastAsia="微软雅黑"/>
      </w:rPr>
      <w:t>sales@fmuser.com</w:t>
    </w:r>
    <w:r>
      <w:rPr>
        <w:rStyle w:val="13"/>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A058B"/>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BF681F"/>
    <w:rsid w:val="00C44FAF"/>
    <w:rsid w:val="00D24477"/>
    <w:rsid w:val="00F268A0"/>
    <w:rsid w:val="00F714FF"/>
    <w:rsid w:val="00F7593F"/>
    <w:rsid w:val="00FC60FC"/>
    <w:rsid w:val="033D434A"/>
    <w:rsid w:val="0A680B1B"/>
    <w:rsid w:val="0E714EC9"/>
    <w:rsid w:val="0FC87CEA"/>
    <w:rsid w:val="101C4557"/>
    <w:rsid w:val="136108AD"/>
    <w:rsid w:val="14DF6D88"/>
    <w:rsid w:val="15C25510"/>
    <w:rsid w:val="18AE427D"/>
    <w:rsid w:val="18E81EA3"/>
    <w:rsid w:val="1B974A15"/>
    <w:rsid w:val="1CDC4CA0"/>
    <w:rsid w:val="1FCC39C5"/>
    <w:rsid w:val="20F61905"/>
    <w:rsid w:val="2199682E"/>
    <w:rsid w:val="239E3C7B"/>
    <w:rsid w:val="27B55639"/>
    <w:rsid w:val="2A752F8B"/>
    <w:rsid w:val="2C665CEA"/>
    <w:rsid w:val="2E0F6BE8"/>
    <w:rsid w:val="314F3E41"/>
    <w:rsid w:val="3B533162"/>
    <w:rsid w:val="3C442143"/>
    <w:rsid w:val="41044716"/>
    <w:rsid w:val="41544E65"/>
    <w:rsid w:val="45872050"/>
    <w:rsid w:val="478E224E"/>
    <w:rsid w:val="485E04E5"/>
    <w:rsid w:val="487316FE"/>
    <w:rsid w:val="48F73F00"/>
    <w:rsid w:val="49B75FAC"/>
    <w:rsid w:val="4E4A4BF6"/>
    <w:rsid w:val="4F8D25ED"/>
    <w:rsid w:val="51AD130D"/>
    <w:rsid w:val="540A3FAB"/>
    <w:rsid w:val="54554C6F"/>
    <w:rsid w:val="562E484B"/>
    <w:rsid w:val="56834992"/>
    <w:rsid w:val="5930748A"/>
    <w:rsid w:val="59933671"/>
    <w:rsid w:val="5AA83521"/>
    <w:rsid w:val="5C601DE6"/>
    <w:rsid w:val="5EEA5249"/>
    <w:rsid w:val="5EEC18C3"/>
    <w:rsid w:val="609213A6"/>
    <w:rsid w:val="61BA6334"/>
    <w:rsid w:val="63C27F07"/>
    <w:rsid w:val="68AD6386"/>
    <w:rsid w:val="69B313B3"/>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0000FF"/>
      <w:u w:val="single"/>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Gateway/3508A/3EEECN_20171024104416.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226</Words>
  <Characters>1337</Characters>
  <Lines>13</Lines>
  <Paragraphs>3</Paragraphs>
  <TotalTime>28</TotalTime>
  <ScaleCrop>false</ScaleCrop>
  <LinksUpToDate>false</LinksUpToDate>
  <CharactersWithSpaces>1580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2026-08-11T06:21:19Z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