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D2825">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FUQ-4633 HD Encoder Modulator 1 HDMI Input DVB-T RF Output MPEG-4 AVC/H.264 Encoding All-in-One Signal Conversion for Broadcast Security Hospitality</w:t>
      </w:r>
      <w:bookmarkStart w:id="0" w:name="_GoBack"/>
      <w:bookmarkEnd w:id="0"/>
    </w:p>
    <w:p w14:paraId="3127B460">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5245100" cy="2633345"/>
            <wp:effectExtent l="0" t="0" r="12700" b="14605"/>
            <wp:docPr id="1" name="图片 1" descr="3EEECN_20141107015531"/>
            <wp:cNvGraphicFramePr/>
            <a:graphic xmlns:a="http://schemas.openxmlformats.org/drawingml/2006/main">
              <a:graphicData uri="http://schemas.openxmlformats.org/drawingml/2006/picture">
                <pic:pic xmlns:pic="http://schemas.openxmlformats.org/drawingml/2006/picture">
                  <pic:nvPicPr>
                    <pic:cNvPr id="1" name="图片 1" descr="3EEECN_20141107015531"/>
                    <pic:cNvPicPr/>
                  </pic:nvPicPr>
                  <pic:blipFill>
                    <a:blip r:embed="rId6"/>
                    <a:stretch>
                      <a:fillRect/>
                    </a:stretch>
                  </pic:blipFill>
                  <pic:spPr>
                    <a:xfrm>
                      <a:off x="0" y="0"/>
                      <a:ext cx="5245100" cy="2633345"/>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79820" cy="3846195"/>
            <wp:effectExtent l="0" t="0" r="11430" b="1905"/>
            <wp:docPr id="8"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IMG_256"/>
                    <pic:cNvPicPr>
                      <a:picLocks noChangeAspect="1"/>
                    </pic:cNvPicPr>
                  </pic:nvPicPr>
                  <pic:blipFill>
                    <a:blip r:embed="rId8"/>
                    <a:stretch>
                      <a:fillRect/>
                    </a:stretch>
                  </pic:blipFill>
                  <pic:spPr>
                    <a:xfrm>
                      <a:off x="0" y="0"/>
                      <a:ext cx="6179820" cy="3846195"/>
                    </a:xfrm>
                    <a:prstGeom prst="rect">
                      <a:avLst/>
                    </a:prstGeom>
                    <a:noFill/>
                    <a:ln w="9525">
                      <a:noFill/>
                    </a:ln>
                  </pic:spPr>
                </pic:pic>
              </a:graphicData>
            </a:graphic>
          </wp:inline>
        </w:drawing>
      </w:r>
    </w:p>
    <w:p w14:paraId="5F154801">
      <w:pPr>
        <w:pStyle w:val="6"/>
        <w:widowControl/>
        <w:spacing w:beforeAutospacing="0" w:afterAutospacing="0" w:line="324" w:lineRule="atLeast"/>
      </w:pPr>
      <w:r>
        <w:rPr>
          <w:rFonts w:ascii="Verdana" w:hAnsi="Verdana" w:cs="Verdana"/>
          <w:color w:val="333333"/>
          <w:sz w:val="18"/>
          <w:szCs w:val="18"/>
          <w:shd w:val="clear" w:color="auto" w:fill="FEFCFD"/>
        </w:rPr>
        <w:t> </w:t>
      </w:r>
    </w:p>
    <w:p w14:paraId="0AF4082C">
      <w:pPr>
        <w:pStyle w:val="6"/>
        <w:widowControl/>
        <w:spacing w:beforeAutospacing="0" w:afterAutospacing="0" w:line="324" w:lineRule="atLeast"/>
        <w:rPr>
          <w:rStyle w:val="10"/>
          <w:rFonts w:hint="eastAsia" w:ascii="Verdana" w:hAnsi="Verdana" w:eastAsia="宋体" w:cs="Verdana"/>
          <w:color w:val="333333"/>
          <w:sz w:val="18"/>
          <w:szCs w:val="18"/>
          <w:shd w:val="clear" w:color="auto" w:fill="FEFCFD"/>
        </w:rPr>
      </w:pPr>
      <w:r>
        <w:rPr>
          <w:rStyle w:val="10"/>
          <w:rFonts w:hint="eastAsia" w:ascii="Verdana" w:hAnsi="Verdana" w:eastAsia="宋体" w:cs="Verdana"/>
          <w:color w:val="333333"/>
          <w:sz w:val="18"/>
          <w:szCs w:val="18"/>
          <w:shd w:val="clear" w:color="auto" w:fill="FEFCFD"/>
        </w:rPr>
        <w:t>Product overview</w:t>
      </w:r>
    </w:p>
    <w:p w14:paraId="6060BADA">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The FMUSER FUQ-4633 HD Encoder Modulator integrates 1 HDMI input and RF output with MPEG-4 AVC/H.264 encoding and DVB-T modulation. It processes audio/video signals by encoding and modulating them for RF transmission. This device is ideal for home entertainment, surveillance systems, and commercial applications like hotel digital signage.</w:t>
      </w:r>
    </w:p>
    <w:p w14:paraId="1EE30C8E">
      <w:pPr>
        <w:pStyle w:val="6"/>
        <w:widowControl/>
        <w:spacing w:beforeAutospacing="0" w:afterAutospacing="0" w:line="324" w:lineRule="atLeast"/>
        <w:rPr>
          <w:rStyle w:val="10"/>
          <w:rFonts w:hint="eastAsia" w:ascii="Verdana" w:hAnsi="Verdana" w:eastAsia="宋体" w:cs="Verdana"/>
          <w:color w:val="333333"/>
          <w:sz w:val="18"/>
          <w:szCs w:val="18"/>
          <w:shd w:val="clear" w:color="auto" w:fill="FEFCFD"/>
        </w:rPr>
      </w:pPr>
      <w:r>
        <w:rPr>
          <w:rStyle w:val="10"/>
          <w:rFonts w:ascii="Verdana" w:hAnsi="Verdana" w:eastAsia="宋体" w:cs="Verdana"/>
          <w:color w:val="333333"/>
          <w:sz w:val="18"/>
          <w:szCs w:val="18"/>
          <w:shd w:val="clear" w:color="auto" w:fill="FEFCFD"/>
        </w:rPr>
        <w:t> </w:t>
      </w:r>
      <w:r>
        <w:rPr>
          <w:rStyle w:val="10"/>
          <w:rFonts w:hint="eastAsia" w:ascii="Verdana" w:hAnsi="Verdana" w:eastAsia="宋体" w:cs="Verdana"/>
          <w:color w:val="333333"/>
          <w:sz w:val="18"/>
          <w:szCs w:val="18"/>
          <w:shd w:val="clear" w:color="auto" w:fill="FEFCFD"/>
        </w:rPr>
        <w:t>Key feature</w:t>
      </w:r>
    </w:p>
    <w:p w14:paraId="54526E3D">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Supports H.264 video encoding with auto detect for MP@L 3.0/3.1/4.0.  </w:t>
      </w:r>
    </w:p>
    <w:p w14:paraId="1E77E72E">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Features MPEG-1 Layer 2 and MPEG-2 AAC audio encoding.  </w:t>
      </w:r>
    </w:p>
    <w:p w14:paraId="22DF2742">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Provides RF output at 142.5-858 MHz with adjustable level from -14 to +6 dBm.  </w:t>
      </w:r>
    </w:p>
    <w:p w14:paraId="5B0683C8">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Includes 1 HDMI input for simplified source connectivity.  </w:t>
      </w:r>
    </w:p>
    <w:p w14:paraId="16C72E3A">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Enables system upgrades via USB port with external disk support.  </w:t>
      </w:r>
    </w:p>
    <w:p w14:paraId="21DBAE97">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8710" cy="2597785"/>
            <wp:effectExtent l="0" t="0" r="2540" b="12065"/>
            <wp:docPr id="7"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7"/>
                    <pic:cNvPicPr>
                      <a:picLocks noChangeAspect="1"/>
                    </pic:cNvPicPr>
                  </pic:nvPicPr>
                  <pic:blipFill>
                    <a:blip r:embed="rId10"/>
                    <a:stretch>
                      <a:fillRect/>
                    </a:stretch>
                  </pic:blipFill>
                  <pic:spPr>
                    <a:xfrm>
                      <a:off x="0" y="0"/>
                      <a:ext cx="6188710" cy="2597785"/>
                    </a:xfrm>
                    <a:prstGeom prst="rect">
                      <a:avLst/>
                    </a:prstGeom>
                    <a:noFill/>
                    <a:ln w="9525">
                      <a:noFill/>
                    </a:ln>
                  </pic:spPr>
                </pic:pic>
              </a:graphicData>
            </a:graphic>
          </wp:inline>
        </w:drawing>
      </w:r>
    </w:p>
    <w:p w14:paraId="4FE6DF02">
      <w:pPr>
        <w:pStyle w:val="6"/>
        <w:widowControl/>
        <w:spacing w:beforeAutospacing="0" w:afterAutospacing="0" w:line="324" w:lineRule="atLeast"/>
      </w:pPr>
      <w:r>
        <w:rPr>
          <w:rFonts w:ascii="Verdana" w:hAnsi="Verdana" w:cs="Verdana"/>
          <w:color w:val="333333"/>
          <w:sz w:val="18"/>
          <w:szCs w:val="18"/>
          <w:shd w:val="clear" w:color="auto" w:fill="FEFCFD"/>
        </w:rPr>
        <w:t> </w:t>
      </w:r>
    </w:p>
    <w:p w14:paraId="786FF058">
      <w:pPr>
        <w:pStyle w:val="6"/>
        <w:widowControl/>
        <w:spacing w:beforeAutospacing="0" w:afterAutospacing="0" w:line="324" w:lineRule="atLeast"/>
      </w:pPr>
      <w:r>
        <w:rPr>
          <w:rStyle w:val="10"/>
          <w:rFonts w:ascii="Verdana" w:hAnsi="Verdana" w:cs="Verdana"/>
          <w:color w:val="333333"/>
          <w:sz w:val="18"/>
          <w:szCs w:val="18"/>
          <w:shd w:val="clear" w:color="auto" w:fill="FEFCFD"/>
        </w:rPr>
        <w:t>System Connection</w:t>
      </w:r>
    </w:p>
    <w:p w14:paraId="4E9CD459">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4265" cy="2193925"/>
            <wp:effectExtent l="0" t="0" r="6985" b="15875"/>
            <wp:docPr id="2"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2"/>
                    <a:stretch>
                      <a:fillRect/>
                    </a:stretch>
                  </pic:blipFill>
                  <pic:spPr>
                    <a:xfrm>
                      <a:off x="0" y="0"/>
                      <a:ext cx="6184265" cy="2193925"/>
                    </a:xfrm>
                    <a:prstGeom prst="rect">
                      <a:avLst/>
                    </a:prstGeom>
                    <a:noFill/>
                    <a:ln w="9525">
                      <a:noFill/>
                    </a:ln>
                  </pic:spPr>
                </pic:pic>
              </a:graphicData>
            </a:graphic>
          </wp:inline>
        </w:drawing>
      </w:r>
    </w:p>
    <w:p w14:paraId="09DD8FA6">
      <w:pPr>
        <w:pStyle w:val="6"/>
        <w:widowControl/>
        <w:spacing w:beforeAutospacing="0" w:afterAutospacing="0" w:line="324" w:lineRule="atLeast"/>
      </w:pPr>
      <w:r>
        <w:rPr>
          <w:rFonts w:ascii="Verdana" w:hAnsi="Verdana" w:cs="Verdana"/>
          <w:color w:val="333333"/>
          <w:sz w:val="18"/>
          <w:szCs w:val="18"/>
          <w:shd w:val="clear" w:color="auto" w:fill="FEFCFD"/>
        </w:rPr>
        <w:t> </w:t>
      </w:r>
    </w:p>
    <w:p w14:paraId="5249A9DF">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Specifications</w:t>
      </w:r>
    </w:p>
    <w:p w14:paraId="1A775373">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6805" cy="3571240"/>
            <wp:effectExtent l="0" t="0" r="4445" b="10160"/>
            <wp:docPr id="3"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9"/>
                    <pic:cNvPicPr>
                      <a:picLocks noChangeAspect="1"/>
                    </pic:cNvPicPr>
                  </pic:nvPicPr>
                  <pic:blipFill>
                    <a:blip r:embed="rId14"/>
                    <a:stretch>
                      <a:fillRect/>
                    </a:stretch>
                  </pic:blipFill>
                  <pic:spPr>
                    <a:xfrm>
                      <a:off x="0" y="0"/>
                      <a:ext cx="6186805" cy="3571240"/>
                    </a:xfrm>
                    <a:prstGeom prst="rect">
                      <a:avLst/>
                    </a:prstGeom>
                    <a:noFill/>
                    <a:ln w="9525">
                      <a:noFill/>
                    </a:ln>
                  </pic:spPr>
                </pic:pic>
              </a:graphicData>
            </a:graphic>
          </wp:inline>
        </w:drawing>
      </w:r>
    </w:p>
    <w:p w14:paraId="488288EA">
      <w:pPr>
        <w:pStyle w:val="6"/>
        <w:widowControl/>
        <w:spacing w:beforeAutospacing="0" w:afterAutospacing="0" w:line="324" w:lineRule="atLeast"/>
      </w:pPr>
      <w:r>
        <w:rPr>
          <w:rStyle w:val="10"/>
          <w:rFonts w:ascii="Verdana" w:hAnsi="Verdana" w:cs="Verdana"/>
          <w:color w:val="333333"/>
          <w:sz w:val="18"/>
          <w:szCs w:val="18"/>
          <w:shd w:val="clear" w:color="auto" w:fill="FEFCFD"/>
        </w:rPr>
        <w:t> </w:t>
      </w:r>
    </w:p>
    <w:p w14:paraId="211494A2">
      <w:pPr>
        <w:pStyle w:val="6"/>
        <w:widowControl/>
        <w:spacing w:beforeAutospacing="0" w:afterAutospacing="0" w:line="324" w:lineRule="atLeast"/>
      </w:pPr>
      <w:r>
        <w:rPr>
          <w:rStyle w:val="10"/>
          <w:rFonts w:ascii="Verdana" w:hAnsi="Verdana" w:cs="Verdana"/>
          <w:color w:val="333333"/>
          <w:sz w:val="18"/>
          <w:szCs w:val="18"/>
          <w:shd w:val="clear" w:color="auto" w:fill="FEFCFD"/>
        </w:rPr>
        <w:t>Typical Applications</w:t>
      </w:r>
    </w:p>
    <w:p w14:paraId="722763D4">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2360" cy="6229350"/>
            <wp:effectExtent l="0" t="0" r="8890" b="0"/>
            <wp:docPr id="6"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60"/>
                    <pic:cNvPicPr>
                      <a:picLocks noChangeAspect="1"/>
                    </pic:cNvPicPr>
                  </pic:nvPicPr>
                  <pic:blipFill>
                    <a:blip r:embed="rId16"/>
                    <a:stretch>
                      <a:fillRect/>
                    </a:stretch>
                  </pic:blipFill>
                  <pic:spPr>
                    <a:xfrm>
                      <a:off x="0" y="0"/>
                      <a:ext cx="6182360" cy="6229350"/>
                    </a:xfrm>
                    <a:prstGeom prst="rect">
                      <a:avLst/>
                    </a:prstGeom>
                    <a:noFill/>
                    <a:ln w="9525">
                      <a:noFill/>
                    </a:ln>
                  </pic:spPr>
                </pic:pic>
              </a:graphicData>
            </a:graphic>
          </wp:inline>
        </w:drawing>
      </w:r>
    </w:p>
    <w:p w14:paraId="78FA5086">
      <w:pPr>
        <w:pStyle w:val="6"/>
        <w:widowControl/>
        <w:spacing w:beforeAutospacing="0" w:afterAutospacing="0" w:line="324" w:lineRule="atLeast"/>
      </w:pPr>
      <w:r>
        <w:rPr>
          <w:rFonts w:ascii="Verdana" w:hAnsi="Verdana" w:cs="Verdana"/>
          <w:color w:val="333333"/>
          <w:sz w:val="18"/>
          <w:szCs w:val="18"/>
          <w:shd w:val="clear" w:color="auto" w:fill="FEFCFD"/>
        </w:rPr>
        <w:t> </w:t>
      </w:r>
    </w:p>
    <w:p w14:paraId="69DCB24E">
      <w:pPr>
        <w:pStyle w:val="6"/>
        <w:widowControl/>
        <w:spacing w:beforeAutospacing="0" w:afterAutospacing="0" w:line="324" w:lineRule="atLeast"/>
      </w:pPr>
      <w:r>
        <w:rPr>
          <w:rStyle w:val="10"/>
          <w:rFonts w:ascii="Verdana" w:hAnsi="Verdana" w:cs="Verdana"/>
          <w:color w:val="333333"/>
          <w:sz w:val="18"/>
          <w:szCs w:val="18"/>
          <w:shd w:val="clear" w:color="auto" w:fill="FEFCFD"/>
        </w:rPr>
        <w:t xml:space="preserve">Main Technical Comparison between </w:t>
      </w:r>
      <w:r>
        <w:rPr>
          <w:rStyle w:val="10"/>
          <w:rFonts w:hint="eastAsia" w:ascii="Verdana" w:hAnsi="Verdana" w:cs="Verdana"/>
          <w:color w:val="333333"/>
          <w:sz w:val="18"/>
          <w:szCs w:val="18"/>
          <w:shd w:val="clear" w:color="auto" w:fill="FEFCFD"/>
        </w:rPr>
        <w:t>FU-4633</w:t>
      </w:r>
      <w:r>
        <w:rPr>
          <w:rStyle w:val="10"/>
          <w:rFonts w:ascii="Verdana" w:hAnsi="Verdana" w:cs="Verdana"/>
          <w:color w:val="333333"/>
          <w:sz w:val="18"/>
          <w:szCs w:val="18"/>
          <w:shd w:val="clear" w:color="auto" w:fill="FEFCFD"/>
        </w:rPr>
        <w:t xml:space="preserve"> and FU-4667 (HD, DVB-T Version)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433"/>
        <w:gridCol w:w="2901"/>
        <w:gridCol w:w="4416"/>
      </w:tblGrid>
      <w:tr w14:paraId="058F34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265" w:type="dxa"/>
            <w:shd w:val="clear" w:color="auto" w:fill="auto"/>
            <w:vAlign w:val="center"/>
          </w:tcPr>
          <w:p w14:paraId="68817EAC">
            <w:pPr>
              <w:pStyle w:val="6"/>
              <w:widowControl/>
              <w:spacing w:beforeAutospacing="0" w:afterAutospacing="0" w:line="324" w:lineRule="atLeast"/>
              <w:ind w:left="34"/>
              <w:jc w:val="center"/>
            </w:pPr>
            <w:r>
              <w:rPr>
                <w:rStyle w:val="10"/>
              </w:rPr>
              <w:t>Items</w:t>
            </w:r>
          </w:p>
        </w:tc>
        <w:tc>
          <w:tcPr>
            <w:tcW w:w="2700" w:type="dxa"/>
            <w:shd w:val="clear" w:color="auto" w:fill="auto"/>
            <w:vAlign w:val="center"/>
          </w:tcPr>
          <w:p w14:paraId="30DF7ECE">
            <w:pPr>
              <w:pStyle w:val="6"/>
              <w:widowControl/>
              <w:spacing w:beforeAutospacing="0" w:afterAutospacing="0" w:line="324" w:lineRule="atLeast"/>
              <w:ind w:left="34"/>
              <w:jc w:val="center"/>
            </w:pPr>
            <w:r>
              <w:rPr>
                <w:rStyle w:val="10"/>
                <w:rFonts w:hint="eastAsia"/>
              </w:rPr>
              <w:t>FU-4633</w:t>
            </w:r>
          </w:p>
        </w:tc>
        <w:tc>
          <w:tcPr>
            <w:tcW w:w="4110" w:type="dxa"/>
            <w:shd w:val="clear" w:color="auto" w:fill="auto"/>
            <w:vAlign w:val="center"/>
          </w:tcPr>
          <w:p w14:paraId="59473085">
            <w:pPr>
              <w:pStyle w:val="6"/>
              <w:widowControl/>
              <w:spacing w:beforeAutospacing="0" w:afterAutospacing="0" w:line="324" w:lineRule="atLeast"/>
              <w:ind w:left="34"/>
              <w:jc w:val="center"/>
            </w:pPr>
            <w:r>
              <w:rPr>
                <w:rStyle w:val="10"/>
              </w:rPr>
              <w:t>FU-4667 (HD, DVB-T )</w:t>
            </w:r>
          </w:p>
        </w:tc>
      </w:tr>
      <w:tr w14:paraId="664860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265" w:type="dxa"/>
            <w:shd w:val="clear" w:color="auto" w:fill="auto"/>
            <w:vAlign w:val="center"/>
          </w:tcPr>
          <w:p w14:paraId="68EA251C">
            <w:pPr>
              <w:pStyle w:val="6"/>
              <w:widowControl/>
              <w:spacing w:beforeAutospacing="0" w:afterAutospacing="0" w:line="324" w:lineRule="atLeast"/>
            </w:pPr>
            <w:r>
              <w:t>Interface</w:t>
            </w:r>
          </w:p>
        </w:tc>
        <w:tc>
          <w:tcPr>
            <w:tcW w:w="2700" w:type="dxa"/>
            <w:shd w:val="clear" w:color="auto" w:fill="auto"/>
            <w:vAlign w:val="center"/>
          </w:tcPr>
          <w:p w14:paraId="40E40290">
            <w:pPr>
              <w:pStyle w:val="6"/>
              <w:widowControl/>
              <w:spacing w:beforeAutospacing="0" w:afterAutospacing="0" w:line="324" w:lineRule="atLeast"/>
              <w:ind w:left="34"/>
            </w:pPr>
            <w:r>
              <w:t>HDMI</w:t>
            </w:r>
          </w:p>
        </w:tc>
        <w:tc>
          <w:tcPr>
            <w:tcW w:w="4110" w:type="dxa"/>
            <w:shd w:val="clear" w:color="auto" w:fill="auto"/>
            <w:vAlign w:val="center"/>
          </w:tcPr>
          <w:p w14:paraId="62EE68DA">
            <w:pPr>
              <w:pStyle w:val="6"/>
              <w:widowControl/>
              <w:spacing w:beforeAutospacing="0" w:afterAutospacing="0" w:line="324" w:lineRule="atLeast"/>
              <w:ind w:left="34"/>
            </w:pPr>
            <w:r>
              <w:t>HDMI/YPbPr/CVBS/S-Video</w:t>
            </w:r>
          </w:p>
        </w:tc>
      </w:tr>
      <w:tr w14:paraId="140CBC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265" w:type="dxa"/>
            <w:shd w:val="clear" w:color="auto" w:fill="auto"/>
            <w:vAlign w:val="center"/>
          </w:tcPr>
          <w:p w14:paraId="6062B363">
            <w:pPr>
              <w:pStyle w:val="6"/>
              <w:widowControl/>
              <w:spacing w:beforeAutospacing="0" w:afterAutospacing="0" w:line="324" w:lineRule="atLeast"/>
            </w:pPr>
            <w:r>
              <w:t>Video Encoding</w:t>
            </w:r>
          </w:p>
        </w:tc>
        <w:tc>
          <w:tcPr>
            <w:tcW w:w="2700" w:type="dxa"/>
            <w:shd w:val="clear" w:color="auto" w:fill="auto"/>
            <w:vAlign w:val="center"/>
          </w:tcPr>
          <w:p w14:paraId="0D93F224">
            <w:pPr>
              <w:pStyle w:val="6"/>
              <w:widowControl/>
              <w:spacing w:beforeAutospacing="0" w:afterAutospacing="0" w:line="324" w:lineRule="atLeast"/>
              <w:ind w:left="34"/>
            </w:pPr>
            <w:r>
              <w:t>H.264 MP@L 3.0/3.1/4.0</w:t>
            </w:r>
          </w:p>
          <w:p w14:paraId="47B91244">
            <w:pPr>
              <w:pStyle w:val="6"/>
              <w:widowControl/>
              <w:spacing w:beforeAutospacing="0" w:afterAutospacing="0" w:line="324" w:lineRule="atLeast"/>
              <w:ind w:left="34"/>
            </w:pPr>
            <w:r>
              <w:t>Auto detect and configure</w:t>
            </w:r>
          </w:p>
        </w:tc>
        <w:tc>
          <w:tcPr>
            <w:tcW w:w="4110" w:type="dxa"/>
            <w:shd w:val="clear" w:color="auto" w:fill="auto"/>
            <w:vAlign w:val="center"/>
          </w:tcPr>
          <w:p w14:paraId="210B9A0D">
            <w:pPr>
              <w:pStyle w:val="6"/>
              <w:widowControl/>
              <w:spacing w:beforeAutospacing="0" w:afterAutospacing="0" w:line="324" w:lineRule="atLeast"/>
              <w:ind w:left="34"/>
            </w:pPr>
            <w:r>
              <w:t>H.264 BP/MP/HP@L 3.0/3.1/3.2/4.0/4.1/4.2</w:t>
            </w:r>
          </w:p>
          <w:p w14:paraId="6351CED2">
            <w:pPr>
              <w:pStyle w:val="6"/>
              <w:widowControl/>
              <w:spacing w:beforeAutospacing="0" w:afterAutospacing="0" w:line="324" w:lineRule="atLeast"/>
              <w:ind w:left="34"/>
            </w:pPr>
            <w:r>
              <w:t>Profile and level can be manually set</w:t>
            </w:r>
          </w:p>
        </w:tc>
      </w:tr>
      <w:tr w14:paraId="77F62C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265" w:type="dxa"/>
            <w:shd w:val="clear" w:color="auto" w:fill="auto"/>
            <w:vAlign w:val="center"/>
          </w:tcPr>
          <w:p w14:paraId="498A8EFE">
            <w:pPr>
              <w:pStyle w:val="6"/>
              <w:widowControl/>
              <w:spacing w:beforeAutospacing="0" w:afterAutospacing="0" w:line="324" w:lineRule="atLeast"/>
            </w:pPr>
            <w:r>
              <w:t>Resolutions</w:t>
            </w:r>
          </w:p>
        </w:tc>
        <w:tc>
          <w:tcPr>
            <w:tcW w:w="2700" w:type="dxa"/>
            <w:shd w:val="clear" w:color="auto" w:fill="auto"/>
            <w:vAlign w:val="center"/>
          </w:tcPr>
          <w:p w14:paraId="1207AE9A">
            <w:pPr>
              <w:pStyle w:val="6"/>
              <w:widowControl/>
              <w:spacing w:beforeAutospacing="0" w:afterAutospacing="0" w:line="324" w:lineRule="atLeast"/>
            </w:pPr>
            <w:r>
              <w:t>Input and output scanning format and frame rate change</w:t>
            </w:r>
          </w:p>
        </w:tc>
        <w:tc>
          <w:tcPr>
            <w:tcW w:w="4110" w:type="dxa"/>
            <w:shd w:val="clear" w:color="auto" w:fill="auto"/>
            <w:vAlign w:val="center"/>
          </w:tcPr>
          <w:p w14:paraId="6DB05C9F">
            <w:pPr>
              <w:pStyle w:val="6"/>
              <w:widowControl/>
              <w:spacing w:beforeAutospacing="0" w:afterAutospacing="0" w:line="324" w:lineRule="atLeast"/>
              <w:ind w:left="-17"/>
            </w:pPr>
            <w:r>
              <w:t>Input and output scanning format and frame rate keep the same</w:t>
            </w:r>
          </w:p>
        </w:tc>
      </w:tr>
      <w:tr w14:paraId="7CEB12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265" w:type="dxa"/>
            <w:shd w:val="clear" w:color="auto" w:fill="auto"/>
            <w:vAlign w:val="center"/>
          </w:tcPr>
          <w:p w14:paraId="3EF15650">
            <w:pPr>
              <w:pStyle w:val="6"/>
              <w:widowControl/>
              <w:spacing w:beforeAutospacing="0" w:afterAutospacing="0" w:line="324" w:lineRule="atLeast"/>
            </w:pPr>
            <w:r>
              <w:t>Audio Encoding</w:t>
            </w:r>
          </w:p>
        </w:tc>
        <w:tc>
          <w:tcPr>
            <w:tcW w:w="2700" w:type="dxa"/>
            <w:shd w:val="clear" w:color="auto" w:fill="auto"/>
            <w:vAlign w:val="center"/>
          </w:tcPr>
          <w:p w14:paraId="4963259D">
            <w:pPr>
              <w:pStyle w:val="6"/>
              <w:widowControl/>
              <w:spacing w:beforeAutospacing="0" w:afterAutospacing="0" w:line="324" w:lineRule="atLeast"/>
              <w:ind w:left="34"/>
            </w:pPr>
            <w:r>
              <w:t>MPEGI layer 2, MPEG-2 AAC</w:t>
            </w:r>
          </w:p>
        </w:tc>
        <w:tc>
          <w:tcPr>
            <w:tcW w:w="4110" w:type="dxa"/>
            <w:shd w:val="clear" w:color="auto" w:fill="auto"/>
            <w:vAlign w:val="center"/>
          </w:tcPr>
          <w:p w14:paraId="303C5BAD">
            <w:pPr>
              <w:pStyle w:val="6"/>
              <w:widowControl/>
              <w:spacing w:beforeAutospacing="0" w:afterAutospacing="0" w:line="324" w:lineRule="atLeast"/>
              <w:ind w:left="34"/>
            </w:pPr>
            <w:r>
              <w:t>MPEG1 Layer II, MPEG2-AAC, MPEG4-AAC</w:t>
            </w:r>
          </w:p>
        </w:tc>
      </w:tr>
      <w:tr w14:paraId="55CD3E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265" w:type="dxa"/>
            <w:shd w:val="clear" w:color="auto" w:fill="auto"/>
            <w:vAlign w:val="center"/>
          </w:tcPr>
          <w:p w14:paraId="6A44BE5A">
            <w:pPr>
              <w:pStyle w:val="6"/>
              <w:widowControl/>
              <w:spacing w:beforeAutospacing="0" w:afterAutospacing="0" w:line="324" w:lineRule="atLeast"/>
            </w:pPr>
            <w:r>
              <w:t>MER</w:t>
            </w:r>
          </w:p>
        </w:tc>
        <w:tc>
          <w:tcPr>
            <w:tcW w:w="2700" w:type="dxa"/>
            <w:shd w:val="clear" w:color="auto" w:fill="auto"/>
            <w:vAlign w:val="center"/>
          </w:tcPr>
          <w:p w14:paraId="14A469E4">
            <w:pPr>
              <w:pStyle w:val="6"/>
              <w:widowControl/>
              <w:spacing w:beforeAutospacing="0" w:afterAutospacing="0" w:line="324" w:lineRule="atLeast"/>
              <w:ind w:left="34"/>
            </w:pPr>
            <w:r>
              <w:t>≥31dB</w:t>
            </w:r>
          </w:p>
        </w:tc>
        <w:tc>
          <w:tcPr>
            <w:tcW w:w="4110" w:type="dxa"/>
            <w:shd w:val="clear" w:color="auto" w:fill="auto"/>
            <w:vAlign w:val="center"/>
          </w:tcPr>
          <w:p w14:paraId="1049CDF4">
            <w:pPr>
              <w:pStyle w:val="6"/>
              <w:widowControl/>
              <w:spacing w:beforeAutospacing="0" w:afterAutospacing="0" w:line="324" w:lineRule="atLeast"/>
              <w:ind w:left="34"/>
            </w:pPr>
            <w:r>
              <w:t>≥42dB</w:t>
            </w:r>
          </w:p>
        </w:tc>
      </w:tr>
      <w:tr w14:paraId="14F306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265" w:type="dxa"/>
            <w:shd w:val="clear" w:color="auto" w:fill="auto"/>
            <w:vAlign w:val="center"/>
          </w:tcPr>
          <w:p w14:paraId="603BE85E">
            <w:pPr>
              <w:pStyle w:val="6"/>
              <w:widowControl/>
              <w:spacing w:beforeAutospacing="0" w:afterAutospacing="0" w:line="324" w:lineRule="atLeast"/>
            </w:pPr>
            <w:r>
              <w:t>RF Frequency</w:t>
            </w:r>
          </w:p>
        </w:tc>
        <w:tc>
          <w:tcPr>
            <w:tcW w:w="2700" w:type="dxa"/>
            <w:shd w:val="clear" w:color="auto" w:fill="auto"/>
            <w:vAlign w:val="center"/>
          </w:tcPr>
          <w:p w14:paraId="09FDC10E">
            <w:pPr>
              <w:pStyle w:val="6"/>
              <w:widowControl/>
              <w:spacing w:beforeAutospacing="0" w:afterAutospacing="0" w:line="324" w:lineRule="atLeast"/>
              <w:ind w:left="34"/>
            </w:pPr>
            <w:r>
              <w:t>142.5~858 MHz</w:t>
            </w:r>
          </w:p>
        </w:tc>
        <w:tc>
          <w:tcPr>
            <w:tcW w:w="4110" w:type="dxa"/>
            <w:shd w:val="clear" w:color="auto" w:fill="auto"/>
            <w:vAlign w:val="center"/>
          </w:tcPr>
          <w:p w14:paraId="090420F2">
            <w:pPr>
              <w:pStyle w:val="6"/>
              <w:widowControl/>
              <w:spacing w:beforeAutospacing="0" w:afterAutospacing="0" w:line="324" w:lineRule="atLeast"/>
              <w:ind w:left="34"/>
            </w:pPr>
            <w:r>
              <w:t>30~960MHz</w:t>
            </w:r>
          </w:p>
        </w:tc>
      </w:tr>
      <w:tr w14:paraId="52095D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265" w:type="dxa"/>
            <w:shd w:val="clear" w:color="auto" w:fill="auto"/>
            <w:vAlign w:val="center"/>
          </w:tcPr>
          <w:p w14:paraId="2CDF40E5">
            <w:pPr>
              <w:pStyle w:val="6"/>
              <w:widowControl/>
              <w:spacing w:beforeAutospacing="0" w:afterAutospacing="0" w:line="324" w:lineRule="atLeast"/>
            </w:pPr>
            <w:r>
              <w:t>Output Level</w:t>
            </w:r>
          </w:p>
        </w:tc>
        <w:tc>
          <w:tcPr>
            <w:tcW w:w="2700" w:type="dxa"/>
            <w:shd w:val="clear" w:color="auto" w:fill="auto"/>
            <w:vAlign w:val="center"/>
          </w:tcPr>
          <w:p w14:paraId="2628084B">
            <w:pPr>
              <w:pStyle w:val="6"/>
              <w:widowControl/>
              <w:spacing w:beforeAutospacing="0" w:afterAutospacing="0" w:line="324" w:lineRule="atLeast"/>
              <w:ind w:left="34"/>
            </w:pPr>
            <w:r>
              <w:t>-14~ +6dBm</w:t>
            </w:r>
          </w:p>
        </w:tc>
        <w:tc>
          <w:tcPr>
            <w:tcW w:w="4110" w:type="dxa"/>
            <w:shd w:val="clear" w:color="auto" w:fill="auto"/>
            <w:vAlign w:val="center"/>
          </w:tcPr>
          <w:p w14:paraId="3353A9B4">
            <w:pPr>
              <w:pStyle w:val="6"/>
              <w:widowControl/>
              <w:spacing w:beforeAutospacing="0" w:afterAutospacing="0" w:line="324" w:lineRule="atLeast"/>
              <w:ind w:left="34"/>
            </w:pPr>
            <w:r>
              <w:t>-16~ -36dBm</w:t>
            </w:r>
          </w:p>
        </w:tc>
      </w:tr>
      <w:tr w14:paraId="7EB901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265" w:type="dxa"/>
            <w:shd w:val="clear" w:color="auto" w:fill="auto"/>
            <w:vAlign w:val="center"/>
          </w:tcPr>
          <w:p w14:paraId="68FEE6BF">
            <w:pPr>
              <w:pStyle w:val="6"/>
              <w:widowControl/>
              <w:spacing w:beforeAutospacing="0" w:afterAutospacing="0" w:line="324" w:lineRule="atLeast"/>
            </w:pPr>
            <w:r>
              <w:t>USB (External USB Disk)</w:t>
            </w:r>
          </w:p>
        </w:tc>
        <w:tc>
          <w:tcPr>
            <w:tcW w:w="2700" w:type="dxa"/>
            <w:shd w:val="clear" w:color="auto" w:fill="auto"/>
            <w:vAlign w:val="center"/>
          </w:tcPr>
          <w:p w14:paraId="1E1F6719">
            <w:pPr>
              <w:pStyle w:val="6"/>
              <w:widowControl/>
              <w:spacing w:beforeAutospacing="0" w:afterAutospacing="0" w:line="324" w:lineRule="atLeast"/>
              <w:ind w:left="34"/>
            </w:pPr>
            <w:r>
              <w:t>System upgrade</w:t>
            </w:r>
          </w:p>
        </w:tc>
        <w:tc>
          <w:tcPr>
            <w:tcW w:w="4110" w:type="dxa"/>
            <w:shd w:val="clear" w:color="auto" w:fill="auto"/>
            <w:vAlign w:val="center"/>
          </w:tcPr>
          <w:p w14:paraId="6B862762">
            <w:pPr>
              <w:pStyle w:val="6"/>
              <w:widowControl/>
              <w:spacing w:beforeAutospacing="0" w:afterAutospacing="0" w:line="324" w:lineRule="atLeast"/>
              <w:ind w:left="34"/>
            </w:pPr>
            <w:r>
              <w:t>System upgrade, TS record and playback</w:t>
            </w:r>
          </w:p>
        </w:tc>
      </w:tr>
    </w:tbl>
    <w:p w14:paraId="11CB045A">
      <w:pPr>
        <w:pStyle w:val="6"/>
        <w:widowControl/>
        <w:spacing w:beforeAutospacing="0" w:afterAutospacing="0" w:line="324" w:lineRule="atLeast"/>
      </w:pPr>
      <w:r>
        <w:rPr>
          <w:rFonts w:ascii="Verdana" w:hAnsi="Verdana" w:cs="Verdana"/>
          <w:color w:val="333333"/>
          <w:sz w:val="18"/>
          <w:szCs w:val="18"/>
          <w:shd w:val="clear" w:color="auto" w:fill="FEFCFD"/>
        </w:rPr>
        <w:t> </w:t>
      </w:r>
    </w:p>
    <w:p w14:paraId="201156BA">
      <w:pPr>
        <w:pStyle w:val="6"/>
        <w:widowControl/>
        <w:spacing w:beforeAutospacing="0" w:afterAutospacing="0" w:line="324" w:lineRule="atLeast"/>
      </w:pPr>
      <w:r>
        <w:rPr>
          <w:rFonts w:ascii="Verdana" w:hAnsi="Verdana" w:cs="Verdana"/>
          <w:color w:val="333333"/>
          <w:sz w:val="18"/>
          <w:szCs w:val="18"/>
          <w:shd w:val="clear" w:color="auto" w:fill="FEFCFD"/>
        </w:rPr>
        <w:t> </w:t>
      </w:r>
    </w:p>
    <w:p w14:paraId="4D1C76F3">
      <w:pPr>
        <w:widowControl/>
        <w:shd w:val="clear" w:color="auto" w:fill="F2F2F4"/>
        <w:jc w:val="left"/>
        <w:rPr>
          <w:rFonts w:ascii="Verdana" w:hAnsi="Verdana" w:cs="Verdana"/>
          <w:color w:val="333333"/>
          <w:sz w:val="18"/>
          <w:szCs w:val="18"/>
        </w:rPr>
      </w:pPr>
    </w:p>
    <w:p w14:paraId="08732619">
      <w:pPr>
        <w:rPr>
          <w:rFonts w:ascii="Verdana" w:hAnsi="Verdana" w:cs="Verdana"/>
          <w:color w:val="000000"/>
          <w:sz w:val="28"/>
        </w:rPr>
      </w:pPr>
    </w:p>
    <w:p w14:paraId="66A5A23F">
      <w:pPr>
        <w:rPr>
          <w:rFonts w:ascii="Verdana" w:hAnsi="Verdana" w:cs="Verdana"/>
          <w:b/>
          <w:color w:val="000000"/>
          <w:sz w:val="22"/>
        </w:rPr>
      </w:pPr>
      <w:r>
        <w:rPr>
          <w:rFonts w:hint="eastAsia" w:ascii="Verdana" w:hAnsi="Verdana" w:cs="Verdana"/>
          <w:b/>
          <w:color w:val="000000"/>
          <w:sz w:val="22"/>
        </w:rPr>
        <w:t>About Us</w:t>
      </w:r>
    </w:p>
    <w:p w14:paraId="1F6F475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0B6BD75">
      <w:pPr>
        <w:rPr>
          <w:rFonts w:ascii="Verdana" w:hAnsi="Verdana" w:cs="Verdana"/>
          <w:color w:val="000000"/>
          <w:sz w:val="18"/>
        </w:rPr>
      </w:pPr>
    </w:p>
    <w:p w14:paraId="046854A4">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30EC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AF5400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F000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02503"/>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4DEC"/>
    <w:rsid w:val="00665764"/>
    <w:rsid w:val="006921B7"/>
    <w:rsid w:val="006A1106"/>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10E2409"/>
    <w:rsid w:val="018F32E7"/>
    <w:rsid w:val="033D434A"/>
    <w:rsid w:val="0A680B1B"/>
    <w:rsid w:val="0D902A88"/>
    <w:rsid w:val="0E714EC9"/>
    <w:rsid w:val="0FC87CEA"/>
    <w:rsid w:val="101C4557"/>
    <w:rsid w:val="15C25510"/>
    <w:rsid w:val="18AE427D"/>
    <w:rsid w:val="18E81EA3"/>
    <w:rsid w:val="1B974A15"/>
    <w:rsid w:val="1CDC4CA0"/>
    <w:rsid w:val="1FCC39C5"/>
    <w:rsid w:val="1FE27ACD"/>
    <w:rsid w:val="20F61905"/>
    <w:rsid w:val="2199682E"/>
    <w:rsid w:val="228E74C8"/>
    <w:rsid w:val="239E3C7B"/>
    <w:rsid w:val="27B55639"/>
    <w:rsid w:val="2A752F8B"/>
    <w:rsid w:val="2C665CEA"/>
    <w:rsid w:val="2DD87E5A"/>
    <w:rsid w:val="2E0F6BE8"/>
    <w:rsid w:val="314F3E41"/>
    <w:rsid w:val="35E41178"/>
    <w:rsid w:val="3B533162"/>
    <w:rsid w:val="45872050"/>
    <w:rsid w:val="478E224E"/>
    <w:rsid w:val="485E04E5"/>
    <w:rsid w:val="487316FE"/>
    <w:rsid w:val="49B75FAC"/>
    <w:rsid w:val="4DEC21E8"/>
    <w:rsid w:val="4E4A4BF6"/>
    <w:rsid w:val="4F8D25ED"/>
    <w:rsid w:val="51AD130D"/>
    <w:rsid w:val="537119B5"/>
    <w:rsid w:val="540A3FAB"/>
    <w:rsid w:val="562E484B"/>
    <w:rsid w:val="56834992"/>
    <w:rsid w:val="5930748A"/>
    <w:rsid w:val="59933671"/>
    <w:rsid w:val="5AA83521"/>
    <w:rsid w:val="5EEA5249"/>
    <w:rsid w:val="609213A6"/>
    <w:rsid w:val="61BA6334"/>
    <w:rsid w:val="63C27F07"/>
    <w:rsid w:val="68AD6386"/>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22/3EEECN_20141107015040.jp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NDS3522/3EEECN_20141107015018.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jpeg"/><Relationship Id="rId15" Type="http://schemas.openxmlformats.org/officeDocument/2006/relationships/hyperlink" Target="https://english.dsdvb.com/Upload/images/Product/Encoder%20and%20Modulator/NDS3522/3EEECN_20140806110135.jpg" TargetMode="External"/><Relationship Id="rId14" Type="http://schemas.openxmlformats.org/officeDocument/2006/relationships/image" Target="media/image6.png"/><Relationship Id="rId13" Type="http://schemas.openxmlformats.org/officeDocument/2006/relationships/hyperlink" Target="https://english.dsdvb.com/Upload/images/Product/Encoder%20and%20Modulator/NDS3522/3EEECN_20181214022726.png" TargetMode="External"/><Relationship Id="rId12" Type="http://schemas.openxmlformats.org/officeDocument/2006/relationships/image" Target="media/image5.jpeg"/><Relationship Id="rId11" Type="http://schemas.openxmlformats.org/officeDocument/2006/relationships/hyperlink" Target="https://english.dsdvb.com/Upload/images/Product/Encoder%20and%20Modulator/NDS3522/3EEECN_20140807112152.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292</Words>
  <Characters>1718</Characters>
  <Lines>12</Lines>
  <Paragraphs>3</Paragraphs>
  <TotalTime>28</TotalTime>
  <ScaleCrop>false</ScaleCrop>
  <LinksUpToDate>false</LinksUpToDate>
  <CharactersWithSpaces>1992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2025-08-20T07:06:30Z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