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D7486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rPr>
          <w:rFonts w:hint="eastAsia" w:ascii="Verdana" w:hAnsi="Verdana" w:cs="Verdana"/>
          <w:b/>
          <w:i w:val="0"/>
          <w:strike w:val="0"/>
          <w:color w:val="000000"/>
          <w:sz w:val="28"/>
          <w:lang w:val="en-US" w:eastAsia="zh-CN"/>
        </w:rPr>
      </w:pPr>
      <w:bookmarkStart w:id="0" w:name="_GoBack"/>
      <w:bookmarkEnd w:id="0"/>
      <w:r>
        <w:rPr>
          <w:rFonts w:hint="eastAsia" w:ascii="Verdana" w:hAnsi="Verdana" w:cs="Verdana"/>
          <w:b/>
          <w:i w:val="0"/>
          <w:strike w:val="0"/>
          <w:color w:val="000000"/>
          <w:sz w:val="28"/>
          <w:lang w:val="en-US" w:eastAsia="zh-CN"/>
        </w:rPr>
        <w:t>FMUSER FUQ-4653L-KA-8 8ch Encoder Multiplexing CVBS Input to IP-ASI Output MPEG-2 MPEG1 Layer II AC3 PAL-NTSC Digital Distribution Headend</w:t>
      </w:r>
    </w:p>
    <w:p w14:paraId="5032CBC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rPr>
          <w:rFonts w:hint="default" w:ascii="Verdana" w:hAnsi="Verdana" w:cs="Verdana"/>
          <w:b w:val="0"/>
          <w:i w:val="0"/>
          <w:strike w:val="0"/>
          <w:color w:val="000000"/>
          <w:sz w:val="28"/>
          <w:lang w:val="en-US" w:eastAsia="zh-CN"/>
        </w:rPr>
        <w:drawing>
          <wp:inline distT="0" distB="0" distL="114300" distR="114300">
            <wp:extent cx="6181725" cy="3400425"/>
            <wp:effectExtent l="0" t="0" r="9525" b="9525"/>
            <wp:docPr id="1" name="图片 1" descr="3EEECN_20171102011149"/>
            <wp:cNvGraphicFramePr/>
            <a:graphic xmlns:a="http://schemas.openxmlformats.org/drawingml/2006/main">
              <a:graphicData uri="http://schemas.openxmlformats.org/drawingml/2006/picture">
                <pic:pic xmlns:pic="http://schemas.openxmlformats.org/drawingml/2006/picture">
                  <pic:nvPicPr>
                    <pic:cNvPr id="1" name="图片 1" descr="3EEECN_20171102011149"/>
                    <pic:cNvPicPr/>
                  </pic:nvPicPr>
                  <pic:blipFill>
                    <a:blip r:embed="rId6"/>
                    <a:stretch>
                      <a:fillRect/>
                    </a:stretch>
                  </pic:blipFill>
                  <pic:spPr>
                    <a:xfrm>
                      <a:off x="0" y="0"/>
                      <a:ext cx="6181725" cy="3400425"/>
                    </a:xfrm>
                    <a:prstGeom prst="rect">
                      <a:avLst/>
                    </a:prstGeom>
                  </pic:spPr>
                </pic:pic>
              </a:graphicData>
            </a:graphic>
          </wp:inline>
        </w:drawing>
      </w:r>
      <w:r>
        <w:rPr>
          <w:rFonts w:hint="default" w:ascii="Verdana" w:hAnsi="Verdana" w:cs="Verdana"/>
          <w:i w:val="0"/>
          <w:iCs w:val="0"/>
          <w:caps w:val="0"/>
          <w:color w:val="333333"/>
          <w:spacing w:val="0"/>
          <w:sz w:val="18"/>
          <w:szCs w:val="18"/>
          <w:u w:val="none"/>
          <w:shd w:val="clear" w:fill="FEFCFD"/>
        </w:rPr>
        <w:drawing>
          <wp:inline distT="0" distB="0" distL="114300" distR="114300">
            <wp:extent cx="6187440" cy="2645410"/>
            <wp:effectExtent l="0" t="0" r="3810" b="2540"/>
            <wp:docPr id="2" name="图片 1" descr="IMG_256">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IMG_256"/>
                    <pic:cNvPicPr>
                      <a:picLocks noChangeAspect="1"/>
                    </pic:cNvPicPr>
                  </pic:nvPicPr>
                  <pic:blipFill>
                    <a:blip r:embed="rId8"/>
                    <a:stretch>
                      <a:fillRect/>
                    </a:stretch>
                  </pic:blipFill>
                  <pic:spPr>
                    <a:xfrm>
                      <a:off x="0" y="0"/>
                      <a:ext cx="6187440" cy="2645410"/>
                    </a:xfrm>
                    <a:prstGeom prst="rect">
                      <a:avLst/>
                    </a:prstGeom>
                    <a:noFill/>
                    <a:ln w="9525">
                      <a:noFill/>
                    </a:ln>
                  </pic:spPr>
                </pic:pic>
              </a:graphicData>
            </a:graphic>
          </wp:inline>
        </w:drawing>
      </w:r>
    </w:p>
    <w:p w14:paraId="6098CBA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r>
        <w:rPr>
          <w:rStyle w:val="10"/>
          <w:rFonts w:hint="default" w:ascii="Verdana" w:hAnsi="Verdana" w:cs="Verdana"/>
          <w:i w:val="0"/>
          <w:iCs w:val="0"/>
          <w:caps w:val="0"/>
          <w:color w:val="333333"/>
          <w:spacing w:val="0"/>
          <w:sz w:val="18"/>
          <w:szCs w:val="18"/>
          <w:shd w:val="clear" w:fill="FEFCFD"/>
        </w:rPr>
        <w:t>Product Overview</w:t>
      </w:r>
    </w:p>
    <w:p w14:paraId="33174D7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r>
        <w:rPr>
          <w:rFonts w:hint="eastAsia" w:ascii="Verdana" w:hAnsi="Verdana" w:cs="Verdana"/>
          <w:i w:val="0"/>
          <w:iCs w:val="0"/>
          <w:caps w:val="0"/>
          <w:color w:val="333333"/>
          <w:spacing w:val="0"/>
          <w:sz w:val="18"/>
          <w:szCs w:val="18"/>
          <w:shd w:val="clear" w:fill="FEFCFD"/>
          <w:lang w:eastAsia="zh-CN"/>
        </w:rPr>
        <w:t>The FUQ-4653B/FUQ-4653AB Encoder processes 8/12/24 CVBS inputs to deliver IP and ASI outputs with encoding and multiplexing. It converts signals by encoding video in MPEG-2 and audio in MPEG1 Layer II/AC3, supporting PAL/NTSC formats. Control is via web-based management for configuration and updates. Ideal for digital head-end systems in broadcasting and cable TV applications.</w:t>
      </w:r>
      <w:r>
        <w:rPr>
          <w:rFonts w:hint="default" w:ascii="Verdana" w:hAnsi="Verdana" w:cs="Verdana"/>
          <w:i w:val="0"/>
          <w:iCs w:val="0"/>
          <w:caps w:val="0"/>
          <w:color w:val="333333"/>
          <w:spacing w:val="0"/>
          <w:sz w:val="18"/>
          <w:szCs w:val="18"/>
          <w:shd w:val="clear" w:fill="FEFCFD"/>
        </w:rPr>
        <w:t> </w:t>
      </w:r>
    </w:p>
    <w:p w14:paraId="6999C9F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rPr>
          <w:rFonts w:hint="eastAsia" w:eastAsiaTheme="minorEastAsia"/>
          <w:lang w:eastAsia="zh-CN"/>
        </w:rPr>
      </w:pPr>
      <w:r>
        <w:rPr>
          <w:rStyle w:val="10"/>
          <w:rFonts w:hint="eastAsia" w:ascii="Verdana" w:hAnsi="Verdana" w:cs="Verdana"/>
          <w:i w:val="0"/>
          <w:iCs w:val="0"/>
          <w:caps w:val="0"/>
          <w:color w:val="333333"/>
          <w:spacing w:val="0"/>
          <w:sz w:val="18"/>
          <w:szCs w:val="18"/>
          <w:shd w:val="clear" w:fill="FEFCFD"/>
          <w:lang w:eastAsia="zh-CN"/>
        </w:rPr>
        <w:t>Key feature</w:t>
      </w:r>
    </w:p>
    <w:p w14:paraId="1D9BEE9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r>
        <w:rPr>
          <w:rFonts w:hint="default" w:ascii="Verdana" w:hAnsi="Verdana" w:cs="Verdana"/>
          <w:i w:val="0"/>
          <w:iCs w:val="0"/>
          <w:caps w:val="0"/>
          <w:color w:val="333333"/>
          <w:spacing w:val="0"/>
          <w:sz w:val="18"/>
          <w:szCs w:val="18"/>
          <w:shd w:val="clear" w:fill="FEFCFD"/>
        </w:rPr>
        <w:t>For FUQ-4653AB: Adds QR Code, Caption, and Logo insertion capabilities </w:t>
      </w:r>
    </w:p>
    <w:p w14:paraId="7D878EF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r>
        <w:rPr>
          <w:rStyle w:val="10"/>
          <w:rFonts w:hint="default" w:ascii="Verdana" w:hAnsi="Verdana" w:cs="Verdana"/>
          <w:i w:val="0"/>
          <w:iCs w:val="0"/>
          <w:caps w:val="0"/>
          <w:color w:val="333333"/>
          <w:spacing w:val="0"/>
          <w:sz w:val="18"/>
          <w:szCs w:val="18"/>
          <w:shd w:val="clear" w:fill="FEFCFD"/>
        </w:rPr>
        <w:t>Principle Chart</w:t>
      </w:r>
    </w:p>
    <w:p w14:paraId="5108E88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r>
        <w:rPr>
          <w:rFonts w:hint="default" w:ascii="Verdana" w:hAnsi="Verdana" w:cs="Verdana"/>
          <w:i w:val="0"/>
          <w:iCs w:val="0"/>
          <w:caps w:val="0"/>
          <w:color w:val="333333"/>
          <w:spacing w:val="0"/>
          <w:sz w:val="18"/>
          <w:szCs w:val="18"/>
          <w:shd w:val="clear" w:fill="FEFCFD"/>
        </w:rPr>
        <w:t> </w:t>
      </w:r>
    </w:p>
    <w:p w14:paraId="384EA3D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rPr>
          <w:rFonts w:hint="default" w:ascii="Verdana" w:hAnsi="Verdana" w:cs="Verdana"/>
          <w:i w:val="0"/>
          <w:iCs w:val="0"/>
          <w:caps w:val="0"/>
          <w:color w:val="333333"/>
          <w:spacing w:val="0"/>
          <w:sz w:val="18"/>
          <w:szCs w:val="18"/>
          <w:u w:val="none"/>
          <w:shd w:val="clear" w:fill="FEFCFD"/>
        </w:rPr>
        <w:drawing>
          <wp:inline distT="0" distB="0" distL="114300" distR="114300">
            <wp:extent cx="6187440" cy="3693160"/>
            <wp:effectExtent l="0" t="0" r="3810" b="2540"/>
            <wp:docPr id="3" name="图片 2" descr="IMG_257">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descr="IMG_257"/>
                    <pic:cNvPicPr>
                      <a:picLocks noChangeAspect="1"/>
                    </pic:cNvPicPr>
                  </pic:nvPicPr>
                  <pic:blipFill>
                    <a:blip r:embed="rId10"/>
                    <a:stretch>
                      <a:fillRect/>
                    </a:stretch>
                  </pic:blipFill>
                  <pic:spPr>
                    <a:xfrm>
                      <a:off x="0" y="0"/>
                      <a:ext cx="6187440" cy="3693160"/>
                    </a:xfrm>
                    <a:prstGeom prst="rect">
                      <a:avLst/>
                    </a:prstGeom>
                    <a:noFill/>
                    <a:ln w="9525">
                      <a:noFill/>
                    </a:ln>
                  </pic:spPr>
                </pic:pic>
              </a:graphicData>
            </a:graphic>
          </wp:inline>
        </w:drawing>
      </w:r>
    </w:p>
    <w:p w14:paraId="718203E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r>
        <w:rPr>
          <w:rFonts w:hint="default" w:ascii="Verdana" w:hAnsi="Verdana" w:cs="Verdana"/>
          <w:i w:val="0"/>
          <w:iCs w:val="0"/>
          <w:caps w:val="0"/>
          <w:color w:val="333333"/>
          <w:spacing w:val="0"/>
          <w:sz w:val="18"/>
          <w:szCs w:val="18"/>
          <w:shd w:val="clear" w:fill="FEFCFD"/>
        </w:rPr>
        <w:t> </w:t>
      </w:r>
    </w:p>
    <w:p w14:paraId="6C6F0DF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r>
        <w:rPr>
          <w:rStyle w:val="10"/>
          <w:rFonts w:hint="default" w:ascii="Verdana" w:hAnsi="Verdana" w:cs="Verdana"/>
          <w:i w:val="0"/>
          <w:iCs w:val="0"/>
          <w:caps w:val="0"/>
          <w:color w:val="333333"/>
          <w:spacing w:val="0"/>
          <w:sz w:val="18"/>
          <w:szCs w:val="18"/>
          <w:shd w:val="clear" w:fill="FEFCFD"/>
        </w:rPr>
        <w:t>Technical specification</w:t>
      </w:r>
    </w:p>
    <w:tbl>
      <w:tblPr>
        <w:tblStyle w:val="7"/>
        <w:tblW w:w="975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autofit"/>
        <w:tblCellMar>
          <w:top w:w="0" w:type="dxa"/>
          <w:left w:w="0" w:type="dxa"/>
          <w:bottom w:w="0" w:type="dxa"/>
          <w:right w:w="0" w:type="dxa"/>
        </w:tblCellMar>
      </w:tblPr>
      <w:tblGrid>
        <w:gridCol w:w="1989"/>
        <w:gridCol w:w="1827"/>
        <w:gridCol w:w="614"/>
        <w:gridCol w:w="5320"/>
      </w:tblGrid>
      <w:tr w14:paraId="4475D26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330" w:hRule="atLeast"/>
          <w:tblCellSpacing w:w="0" w:type="dxa"/>
        </w:trPr>
        <w:tc>
          <w:tcPr>
            <w:tcW w:w="1845" w:type="dxa"/>
            <w:shd w:val="clear" w:color="auto" w:fill="auto"/>
            <w:vAlign w:val="center"/>
          </w:tcPr>
          <w:p w14:paraId="3A23191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Style w:val="10"/>
              </w:rPr>
              <w:t>Input</w:t>
            </w:r>
          </w:p>
        </w:tc>
        <w:tc>
          <w:tcPr>
            <w:tcW w:w="7200" w:type="dxa"/>
            <w:gridSpan w:val="3"/>
            <w:shd w:val="clear" w:color="auto" w:fill="auto"/>
            <w:vAlign w:val="center"/>
          </w:tcPr>
          <w:p w14:paraId="2966B22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8/12/24CVBS inputs , RCA interface</w:t>
            </w:r>
          </w:p>
        </w:tc>
      </w:tr>
      <w:tr w14:paraId="351AF85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765" w:hRule="atLeast"/>
          <w:tblCellSpacing w:w="0" w:type="dxa"/>
        </w:trPr>
        <w:tc>
          <w:tcPr>
            <w:tcW w:w="1845" w:type="dxa"/>
            <w:vMerge w:val="restart"/>
            <w:shd w:val="clear" w:color="auto" w:fill="auto"/>
            <w:vAlign w:val="center"/>
          </w:tcPr>
          <w:p w14:paraId="2A0F27B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Style w:val="10"/>
              </w:rPr>
              <w:t>Video</w:t>
            </w:r>
          </w:p>
        </w:tc>
        <w:tc>
          <w:tcPr>
            <w:tcW w:w="1695" w:type="dxa"/>
            <w:vMerge w:val="restart"/>
            <w:shd w:val="clear" w:color="auto" w:fill="auto"/>
            <w:vAlign w:val="center"/>
          </w:tcPr>
          <w:p w14:paraId="7FB3BFF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Resolution</w:t>
            </w:r>
          </w:p>
        </w:tc>
        <w:tc>
          <w:tcPr>
            <w:tcW w:w="5490" w:type="dxa"/>
            <w:gridSpan w:val="2"/>
            <w:shd w:val="clear" w:color="auto" w:fill="auto"/>
            <w:vAlign w:val="center"/>
          </w:tcPr>
          <w:p w14:paraId="2014FC1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720×480_60i, 544×480_60i, 352×480_60i</w:t>
            </w:r>
          </w:p>
          <w:p w14:paraId="795CD6E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352×240_60i, 320×240_60i,176×240_60i, 176×120_60i</w:t>
            </w:r>
          </w:p>
        </w:tc>
      </w:tr>
      <w:tr w14:paraId="42B5C8E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705" w:hRule="atLeast"/>
          <w:tblCellSpacing w:w="0" w:type="dxa"/>
        </w:trPr>
        <w:tc>
          <w:tcPr>
            <w:tcW w:w="1845" w:type="dxa"/>
            <w:vMerge w:val="continue"/>
            <w:shd w:val="clear" w:color="auto" w:fill="auto"/>
            <w:vAlign w:val="center"/>
          </w:tcPr>
          <w:p w14:paraId="70B698DD">
            <w:pPr>
              <w:jc w:val="left"/>
              <w:rPr>
                <w:rFonts w:hint="eastAsia" w:ascii="宋体"/>
                <w:sz w:val="24"/>
                <w:szCs w:val="24"/>
              </w:rPr>
            </w:pPr>
          </w:p>
        </w:tc>
        <w:tc>
          <w:tcPr>
            <w:tcW w:w="1695" w:type="dxa"/>
            <w:vMerge w:val="continue"/>
            <w:shd w:val="clear" w:color="auto" w:fill="auto"/>
            <w:vAlign w:val="center"/>
          </w:tcPr>
          <w:p w14:paraId="09B7AA07">
            <w:pPr>
              <w:jc w:val="left"/>
              <w:rPr>
                <w:rFonts w:hint="eastAsia" w:ascii="宋体"/>
                <w:sz w:val="24"/>
                <w:szCs w:val="24"/>
              </w:rPr>
            </w:pPr>
          </w:p>
        </w:tc>
        <w:tc>
          <w:tcPr>
            <w:tcW w:w="5490" w:type="dxa"/>
            <w:gridSpan w:val="2"/>
            <w:shd w:val="clear" w:color="auto" w:fill="auto"/>
            <w:vAlign w:val="center"/>
          </w:tcPr>
          <w:p w14:paraId="5D14686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720×576_50i, 704×576_50i, 640×576_50i, 352×288_50i, 320×288_50i, 176×288_50i, 176×144_50i</w:t>
            </w:r>
          </w:p>
        </w:tc>
      </w:tr>
      <w:tr w14:paraId="7A0A836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01" w:hRule="atLeast"/>
          <w:tblCellSpacing w:w="0" w:type="dxa"/>
        </w:trPr>
        <w:tc>
          <w:tcPr>
            <w:tcW w:w="1845" w:type="dxa"/>
            <w:vMerge w:val="continue"/>
            <w:shd w:val="clear" w:color="auto" w:fill="auto"/>
            <w:vAlign w:val="center"/>
          </w:tcPr>
          <w:p w14:paraId="0DEADB74">
            <w:pPr>
              <w:jc w:val="left"/>
              <w:rPr>
                <w:rFonts w:hint="eastAsia" w:ascii="宋体"/>
                <w:sz w:val="24"/>
                <w:szCs w:val="24"/>
              </w:rPr>
            </w:pPr>
          </w:p>
        </w:tc>
        <w:tc>
          <w:tcPr>
            <w:tcW w:w="1695" w:type="dxa"/>
            <w:shd w:val="clear" w:color="auto" w:fill="auto"/>
            <w:vAlign w:val="center"/>
          </w:tcPr>
          <w:p w14:paraId="3B07AF6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Encoding</w:t>
            </w:r>
          </w:p>
        </w:tc>
        <w:tc>
          <w:tcPr>
            <w:tcW w:w="5490" w:type="dxa"/>
            <w:gridSpan w:val="2"/>
            <w:shd w:val="clear" w:color="auto" w:fill="auto"/>
            <w:vAlign w:val="center"/>
          </w:tcPr>
          <w:p w14:paraId="572F270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MPEG-2</w:t>
            </w:r>
          </w:p>
        </w:tc>
      </w:tr>
      <w:tr w14:paraId="512C30E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56" w:hRule="atLeast"/>
          <w:tblCellSpacing w:w="0" w:type="dxa"/>
        </w:trPr>
        <w:tc>
          <w:tcPr>
            <w:tcW w:w="1845" w:type="dxa"/>
            <w:vMerge w:val="continue"/>
            <w:shd w:val="clear" w:color="auto" w:fill="auto"/>
            <w:vAlign w:val="center"/>
          </w:tcPr>
          <w:p w14:paraId="77357369">
            <w:pPr>
              <w:jc w:val="left"/>
              <w:rPr>
                <w:rFonts w:hint="eastAsia" w:ascii="宋体"/>
                <w:sz w:val="24"/>
                <w:szCs w:val="24"/>
              </w:rPr>
            </w:pPr>
          </w:p>
        </w:tc>
        <w:tc>
          <w:tcPr>
            <w:tcW w:w="1695" w:type="dxa"/>
            <w:shd w:val="clear" w:color="auto" w:fill="auto"/>
            <w:vAlign w:val="center"/>
          </w:tcPr>
          <w:p w14:paraId="1FEB75B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Bit-rate</w:t>
            </w:r>
          </w:p>
        </w:tc>
        <w:tc>
          <w:tcPr>
            <w:tcW w:w="5490" w:type="dxa"/>
            <w:gridSpan w:val="2"/>
            <w:shd w:val="clear" w:color="auto" w:fill="auto"/>
            <w:vAlign w:val="center"/>
          </w:tcPr>
          <w:p w14:paraId="267CEBC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0.5Mbps~8Mbps each channel</w:t>
            </w:r>
          </w:p>
        </w:tc>
      </w:tr>
      <w:tr w14:paraId="0E5FD23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01" w:hRule="atLeast"/>
          <w:tblCellSpacing w:w="0" w:type="dxa"/>
        </w:trPr>
        <w:tc>
          <w:tcPr>
            <w:tcW w:w="1845" w:type="dxa"/>
            <w:vMerge w:val="continue"/>
            <w:shd w:val="clear" w:color="auto" w:fill="auto"/>
            <w:vAlign w:val="center"/>
          </w:tcPr>
          <w:p w14:paraId="47FD20A4">
            <w:pPr>
              <w:jc w:val="left"/>
              <w:rPr>
                <w:rFonts w:hint="eastAsia" w:ascii="宋体"/>
                <w:sz w:val="24"/>
                <w:szCs w:val="24"/>
              </w:rPr>
            </w:pPr>
          </w:p>
        </w:tc>
        <w:tc>
          <w:tcPr>
            <w:tcW w:w="1695" w:type="dxa"/>
            <w:shd w:val="clear" w:color="auto" w:fill="auto"/>
            <w:vAlign w:val="center"/>
          </w:tcPr>
          <w:p w14:paraId="6CE8F28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Rate Control</w:t>
            </w:r>
          </w:p>
        </w:tc>
        <w:tc>
          <w:tcPr>
            <w:tcW w:w="5490" w:type="dxa"/>
            <w:gridSpan w:val="2"/>
            <w:shd w:val="clear" w:color="auto" w:fill="auto"/>
            <w:vAlign w:val="center"/>
          </w:tcPr>
          <w:p w14:paraId="6A2F416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CBR/VBR</w:t>
            </w:r>
          </w:p>
        </w:tc>
      </w:tr>
      <w:tr w14:paraId="2DD4DF5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trPr>
        <w:tc>
          <w:tcPr>
            <w:tcW w:w="1845" w:type="dxa"/>
            <w:vMerge w:val="continue"/>
            <w:shd w:val="clear" w:color="auto" w:fill="auto"/>
            <w:vAlign w:val="center"/>
          </w:tcPr>
          <w:p w14:paraId="5572C16F">
            <w:pPr>
              <w:jc w:val="left"/>
              <w:rPr>
                <w:rFonts w:hint="eastAsia" w:ascii="宋体"/>
                <w:sz w:val="24"/>
                <w:szCs w:val="24"/>
              </w:rPr>
            </w:pPr>
          </w:p>
        </w:tc>
        <w:tc>
          <w:tcPr>
            <w:tcW w:w="1695" w:type="dxa"/>
            <w:shd w:val="clear" w:color="auto" w:fill="auto"/>
            <w:vAlign w:val="center"/>
          </w:tcPr>
          <w:p w14:paraId="445FAB7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GOP Structure</w:t>
            </w:r>
          </w:p>
        </w:tc>
        <w:tc>
          <w:tcPr>
            <w:tcW w:w="5490" w:type="dxa"/>
            <w:gridSpan w:val="2"/>
            <w:shd w:val="clear" w:color="auto" w:fill="auto"/>
            <w:vAlign w:val="center"/>
          </w:tcPr>
          <w:p w14:paraId="18537D4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GOP_0_B, GOP_1_B, GOP_2_B, GOP_3_B</w:t>
            </w:r>
          </w:p>
        </w:tc>
      </w:tr>
      <w:tr w14:paraId="73C3B43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26" w:hRule="atLeast"/>
          <w:tblCellSpacing w:w="0" w:type="dxa"/>
        </w:trPr>
        <w:tc>
          <w:tcPr>
            <w:tcW w:w="1845" w:type="dxa"/>
            <w:vMerge w:val="continue"/>
            <w:shd w:val="clear" w:color="auto" w:fill="auto"/>
            <w:vAlign w:val="center"/>
          </w:tcPr>
          <w:p w14:paraId="5FF26F7F">
            <w:pPr>
              <w:jc w:val="left"/>
              <w:rPr>
                <w:rFonts w:hint="eastAsia" w:ascii="宋体"/>
                <w:sz w:val="24"/>
                <w:szCs w:val="24"/>
              </w:rPr>
            </w:pPr>
          </w:p>
        </w:tc>
        <w:tc>
          <w:tcPr>
            <w:tcW w:w="1695" w:type="dxa"/>
            <w:shd w:val="clear" w:color="auto" w:fill="auto"/>
            <w:vAlign w:val="center"/>
          </w:tcPr>
          <w:p w14:paraId="3E762EF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Advanced Pretreatment</w:t>
            </w:r>
          </w:p>
        </w:tc>
        <w:tc>
          <w:tcPr>
            <w:tcW w:w="5490" w:type="dxa"/>
            <w:gridSpan w:val="2"/>
            <w:shd w:val="clear" w:color="auto" w:fill="auto"/>
            <w:vAlign w:val="center"/>
          </w:tcPr>
          <w:p w14:paraId="2614CDB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De-interlacing, noise reduction</w:t>
            </w:r>
          </w:p>
        </w:tc>
      </w:tr>
      <w:tr w14:paraId="05A0C8E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trPr>
        <w:tc>
          <w:tcPr>
            <w:tcW w:w="1845" w:type="dxa"/>
            <w:vMerge w:val="restart"/>
            <w:shd w:val="clear" w:color="auto" w:fill="auto"/>
            <w:vAlign w:val="center"/>
          </w:tcPr>
          <w:p w14:paraId="300A849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Style w:val="10"/>
              </w:rPr>
              <w:t>Audio</w:t>
            </w:r>
          </w:p>
        </w:tc>
        <w:tc>
          <w:tcPr>
            <w:tcW w:w="1695" w:type="dxa"/>
            <w:shd w:val="clear" w:color="auto" w:fill="auto"/>
            <w:vAlign w:val="center"/>
          </w:tcPr>
          <w:p w14:paraId="726E14E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Encoding</w:t>
            </w:r>
          </w:p>
        </w:tc>
        <w:tc>
          <w:tcPr>
            <w:tcW w:w="5490" w:type="dxa"/>
            <w:gridSpan w:val="2"/>
            <w:shd w:val="clear" w:color="auto" w:fill="auto"/>
            <w:vAlign w:val="center"/>
          </w:tcPr>
          <w:p w14:paraId="180A1B1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MPEG-1 Layer 2, AC3(2.0)</w:t>
            </w:r>
          </w:p>
        </w:tc>
      </w:tr>
      <w:tr w14:paraId="03CCABA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 w:hRule="atLeast"/>
          <w:tblCellSpacing w:w="0" w:type="dxa"/>
        </w:trPr>
        <w:tc>
          <w:tcPr>
            <w:tcW w:w="1845" w:type="dxa"/>
            <w:vMerge w:val="continue"/>
            <w:shd w:val="clear" w:color="auto" w:fill="auto"/>
            <w:vAlign w:val="center"/>
          </w:tcPr>
          <w:p w14:paraId="5F476807">
            <w:pPr>
              <w:jc w:val="left"/>
              <w:rPr>
                <w:rFonts w:hint="eastAsia" w:ascii="宋体"/>
                <w:sz w:val="24"/>
                <w:szCs w:val="24"/>
              </w:rPr>
            </w:pPr>
          </w:p>
        </w:tc>
        <w:tc>
          <w:tcPr>
            <w:tcW w:w="1695" w:type="dxa"/>
            <w:shd w:val="clear" w:color="auto" w:fill="auto"/>
            <w:vAlign w:val="center"/>
          </w:tcPr>
          <w:p w14:paraId="666B2F5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Sampling rate</w:t>
            </w:r>
          </w:p>
        </w:tc>
        <w:tc>
          <w:tcPr>
            <w:tcW w:w="5490" w:type="dxa"/>
            <w:gridSpan w:val="2"/>
            <w:shd w:val="clear" w:color="auto" w:fill="auto"/>
            <w:vAlign w:val="center"/>
          </w:tcPr>
          <w:p w14:paraId="0BC8AB2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48KHz</w:t>
            </w:r>
          </w:p>
        </w:tc>
      </w:tr>
      <w:tr w14:paraId="041AE55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 w:hRule="atLeast"/>
          <w:tblCellSpacing w:w="0" w:type="dxa"/>
        </w:trPr>
        <w:tc>
          <w:tcPr>
            <w:tcW w:w="1845" w:type="dxa"/>
            <w:vMerge w:val="continue"/>
            <w:shd w:val="clear" w:color="auto" w:fill="auto"/>
            <w:vAlign w:val="center"/>
          </w:tcPr>
          <w:p w14:paraId="7355F5E3">
            <w:pPr>
              <w:jc w:val="left"/>
              <w:rPr>
                <w:rFonts w:hint="eastAsia" w:ascii="宋体"/>
                <w:sz w:val="24"/>
                <w:szCs w:val="24"/>
              </w:rPr>
            </w:pPr>
          </w:p>
        </w:tc>
        <w:tc>
          <w:tcPr>
            <w:tcW w:w="1695" w:type="dxa"/>
            <w:shd w:val="clear" w:color="auto" w:fill="auto"/>
            <w:vAlign w:val="center"/>
          </w:tcPr>
          <w:p w14:paraId="6196F7D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Resolution</w:t>
            </w:r>
          </w:p>
        </w:tc>
        <w:tc>
          <w:tcPr>
            <w:tcW w:w="5490" w:type="dxa"/>
            <w:gridSpan w:val="2"/>
            <w:shd w:val="clear" w:color="auto" w:fill="auto"/>
            <w:vAlign w:val="center"/>
          </w:tcPr>
          <w:p w14:paraId="3C96924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24-bit</w:t>
            </w:r>
          </w:p>
        </w:tc>
      </w:tr>
      <w:tr w14:paraId="2443F9F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 w:hRule="atLeast"/>
          <w:tblCellSpacing w:w="0" w:type="dxa"/>
        </w:trPr>
        <w:tc>
          <w:tcPr>
            <w:tcW w:w="1845" w:type="dxa"/>
            <w:vMerge w:val="continue"/>
            <w:shd w:val="clear" w:color="auto" w:fill="auto"/>
            <w:vAlign w:val="center"/>
          </w:tcPr>
          <w:p w14:paraId="369B13CC">
            <w:pPr>
              <w:jc w:val="left"/>
              <w:rPr>
                <w:rFonts w:hint="eastAsia" w:ascii="宋体"/>
                <w:sz w:val="24"/>
                <w:szCs w:val="24"/>
              </w:rPr>
            </w:pPr>
          </w:p>
        </w:tc>
        <w:tc>
          <w:tcPr>
            <w:tcW w:w="1695" w:type="dxa"/>
            <w:shd w:val="clear" w:color="auto" w:fill="auto"/>
            <w:vAlign w:val="center"/>
          </w:tcPr>
          <w:p w14:paraId="321FA44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Bit-rate</w:t>
            </w:r>
          </w:p>
        </w:tc>
        <w:tc>
          <w:tcPr>
            <w:tcW w:w="5490" w:type="dxa"/>
            <w:gridSpan w:val="2"/>
            <w:shd w:val="clear" w:color="auto" w:fill="auto"/>
            <w:vAlign w:val="center"/>
          </w:tcPr>
          <w:p w14:paraId="710D3B2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64Kbps,128Kbps,192kbps,256kbps,320kbps,384kbps each channel</w:t>
            </w:r>
          </w:p>
        </w:tc>
      </w:tr>
      <w:tr w14:paraId="28A7397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26" w:hRule="atLeast"/>
          <w:tblCellSpacing w:w="0" w:type="dxa"/>
        </w:trPr>
        <w:tc>
          <w:tcPr>
            <w:tcW w:w="1845" w:type="dxa"/>
            <w:vMerge w:val="restart"/>
            <w:shd w:val="clear" w:color="auto" w:fill="auto"/>
            <w:vAlign w:val="center"/>
          </w:tcPr>
          <w:p w14:paraId="16F6F58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Style w:val="10"/>
              </w:rPr>
              <w:t>Multiplexing</w:t>
            </w:r>
          </w:p>
        </w:tc>
        <w:tc>
          <w:tcPr>
            <w:tcW w:w="1695" w:type="dxa"/>
            <w:vMerge w:val="restart"/>
            <w:shd w:val="clear" w:color="auto" w:fill="auto"/>
            <w:vAlign w:val="center"/>
          </w:tcPr>
          <w:p w14:paraId="4690F4C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Function</w:t>
            </w:r>
          </w:p>
        </w:tc>
        <w:tc>
          <w:tcPr>
            <w:tcW w:w="5490" w:type="dxa"/>
            <w:gridSpan w:val="2"/>
            <w:shd w:val="clear" w:color="auto" w:fill="auto"/>
            <w:vAlign w:val="center"/>
          </w:tcPr>
          <w:p w14:paraId="4E0BAFE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PID remapping (automatically or manually)</w:t>
            </w:r>
          </w:p>
        </w:tc>
      </w:tr>
      <w:tr w14:paraId="639F41C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36" w:hRule="atLeast"/>
          <w:tblCellSpacing w:w="0" w:type="dxa"/>
        </w:trPr>
        <w:tc>
          <w:tcPr>
            <w:tcW w:w="1845" w:type="dxa"/>
            <w:vMerge w:val="continue"/>
            <w:shd w:val="clear" w:color="auto" w:fill="auto"/>
            <w:vAlign w:val="center"/>
          </w:tcPr>
          <w:p w14:paraId="56A9831B">
            <w:pPr>
              <w:jc w:val="left"/>
              <w:rPr>
                <w:rFonts w:hint="eastAsia" w:ascii="宋体"/>
                <w:sz w:val="24"/>
                <w:szCs w:val="24"/>
              </w:rPr>
            </w:pPr>
          </w:p>
        </w:tc>
        <w:tc>
          <w:tcPr>
            <w:tcW w:w="1695" w:type="dxa"/>
            <w:vMerge w:val="continue"/>
            <w:shd w:val="clear" w:color="auto" w:fill="auto"/>
            <w:vAlign w:val="center"/>
          </w:tcPr>
          <w:p w14:paraId="4324C03F">
            <w:pPr>
              <w:jc w:val="left"/>
              <w:rPr>
                <w:rFonts w:hint="eastAsia" w:ascii="宋体"/>
                <w:sz w:val="24"/>
                <w:szCs w:val="24"/>
              </w:rPr>
            </w:pPr>
          </w:p>
        </w:tc>
        <w:tc>
          <w:tcPr>
            <w:tcW w:w="5490" w:type="dxa"/>
            <w:gridSpan w:val="2"/>
            <w:shd w:val="clear" w:color="auto" w:fill="auto"/>
            <w:vAlign w:val="center"/>
          </w:tcPr>
          <w:p w14:paraId="3586035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Accurate PCR adjusting</w:t>
            </w:r>
          </w:p>
        </w:tc>
      </w:tr>
      <w:tr w14:paraId="60F7EB1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6" w:hRule="atLeast"/>
          <w:tblCellSpacing w:w="0" w:type="dxa"/>
        </w:trPr>
        <w:tc>
          <w:tcPr>
            <w:tcW w:w="1845" w:type="dxa"/>
            <w:vMerge w:val="continue"/>
            <w:shd w:val="clear" w:color="auto" w:fill="auto"/>
            <w:vAlign w:val="center"/>
          </w:tcPr>
          <w:p w14:paraId="6E335E4F">
            <w:pPr>
              <w:jc w:val="left"/>
              <w:rPr>
                <w:rFonts w:hint="eastAsia" w:ascii="宋体"/>
                <w:sz w:val="24"/>
                <w:szCs w:val="24"/>
              </w:rPr>
            </w:pPr>
          </w:p>
        </w:tc>
        <w:tc>
          <w:tcPr>
            <w:tcW w:w="1695" w:type="dxa"/>
            <w:vMerge w:val="continue"/>
            <w:shd w:val="clear" w:color="auto" w:fill="auto"/>
            <w:vAlign w:val="center"/>
          </w:tcPr>
          <w:p w14:paraId="5A11D088">
            <w:pPr>
              <w:jc w:val="left"/>
              <w:rPr>
                <w:rFonts w:hint="eastAsia" w:ascii="宋体"/>
                <w:sz w:val="24"/>
                <w:szCs w:val="24"/>
              </w:rPr>
            </w:pPr>
          </w:p>
        </w:tc>
        <w:tc>
          <w:tcPr>
            <w:tcW w:w="5490" w:type="dxa"/>
            <w:gridSpan w:val="2"/>
            <w:shd w:val="clear" w:color="auto" w:fill="auto"/>
            <w:vAlign w:val="center"/>
          </w:tcPr>
          <w:p w14:paraId="63CBFBB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Generate PSI/ SI table automatically</w:t>
            </w:r>
          </w:p>
        </w:tc>
      </w:tr>
      <w:tr w14:paraId="6986998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35" w:hRule="atLeast"/>
          <w:tblCellSpacing w:w="0" w:type="dxa"/>
        </w:trPr>
        <w:tc>
          <w:tcPr>
            <w:tcW w:w="1845" w:type="dxa"/>
            <w:shd w:val="clear" w:color="auto" w:fill="auto"/>
            <w:vAlign w:val="center"/>
          </w:tcPr>
          <w:p w14:paraId="423D696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Style w:val="10"/>
              </w:rPr>
              <w:t>Stream output</w:t>
            </w:r>
          </w:p>
        </w:tc>
        <w:tc>
          <w:tcPr>
            <w:tcW w:w="7200" w:type="dxa"/>
            <w:gridSpan w:val="3"/>
            <w:shd w:val="clear" w:color="auto" w:fill="auto"/>
            <w:vAlign w:val="center"/>
          </w:tcPr>
          <w:p w14:paraId="4E017B9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 ASI as copy of MPTS</w:t>
            </w:r>
          </w:p>
          <w:p w14:paraId="1695865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IP (MPTS/SPTS) output over UDP/RTP/RTSP</w:t>
            </w:r>
          </w:p>
          <w:p w14:paraId="0684454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8/12 CVBS inputs with 8/12 SPTS and 1 MPTS output</w:t>
            </w:r>
          </w:p>
          <w:p w14:paraId="6B91B20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24×CVBS inputs with 24 SPTS or 1 MPTS output</w:t>
            </w:r>
          </w:p>
        </w:tc>
      </w:tr>
      <w:tr w14:paraId="0537091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41" w:hRule="atLeast"/>
          <w:tblCellSpacing w:w="0" w:type="dxa"/>
        </w:trPr>
        <w:tc>
          <w:tcPr>
            <w:tcW w:w="1845" w:type="dxa"/>
            <w:vMerge w:val="restart"/>
            <w:shd w:val="clear" w:color="auto" w:fill="auto"/>
            <w:vAlign w:val="center"/>
          </w:tcPr>
          <w:p w14:paraId="434AA4E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Style w:val="10"/>
              </w:rPr>
              <w:t>System function</w:t>
            </w:r>
          </w:p>
        </w:tc>
        <w:tc>
          <w:tcPr>
            <w:tcW w:w="7200" w:type="dxa"/>
            <w:gridSpan w:val="3"/>
            <w:shd w:val="clear" w:color="auto" w:fill="auto"/>
            <w:vAlign w:val="center"/>
          </w:tcPr>
          <w:p w14:paraId="1691734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Network management (WEB)</w:t>
            </w:r>
          </w:p>
        </w:tc>
      </w:tr>
      <w:tr w14:paraId="6FD61EA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56" w:hRule="atLeast"/>
          <w:tblCellSpacing w:w="0" w:type="dxa"/>
        </w:trPr>
        <w:tc>
          <w:tcPr>
            <w:tcW w:w="1845" w:type="dxa"/>
            <w:vMerge w:val="continue"/>
            <w:shd w:val="clear" w:color="auto" w:fill="auto"/>
            <w:vAlign w:val="center"/>
          </w:tcPr>
          <w:p w14:paraId="51C39BEC">
            <w:pPr>
              <w:jc w:val="left"/>
              <w:rPr>
                <w:rFonts w:hint="eastAsia" w:ascii="宋体"/>
                <w:sz w:val="24"/>
                <w:szCs w:val="24"/>
              </w:rPr>
            </w:pPr>
          </w:p>
        </w:tc>
        <w:tc>
          <w:tcPr>
            <w:tcW w:w="7200" w:type="dxa"/>
            <w:gridSpan w:val="3"/>
            <w:shd w:val="clear" w:color="auto" w:fill="auto"/>
            <w:vAlign w:val="center"/>
          </w:tcPr>
          <w:p w14:paraId="419FCEB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Chinese and English language</w:t>
            </w:r>
          </w:p>
        </w:tc>
      </w:tr>
      <w:tr w14:paraId="3A202F4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41" w:hRule="atLeast"/>
          <w:tblCellSpacing w:w="0" w:type="dxa"/>
        </w:trPr>
        <w:tc>
          <w:tcPr>
            <w:tcW w:w="1845" w:type="dxa"/>
            <w:vMerge w:val="continue"/>
            <w:shd w:val="clear" w:color="auto" w:fill="auto"/>
            <w:vAlign w:val="center"/>
          </w:tcPr>
          <w:p w14:paraId="3C8D3A90">
            <w:pPr>
              <w:jc w:val="left"/>
              <w:rPr>
                <w:rFonts w:hint="eastAsia" w:ascii="宋体"/>
                <w:sz w:val="24"/>
                <w:szCs w:val="24"/>
              </w:rPr>
            </w:pPr>
          </w:p>
        </w:tc>
        <w:tc>
          <w:tcPr>
            <w:tcW w:w="7200" w:type="dxa"/>
            <w:gridSpan w:val="3"/>
            <w:shd w:val="clear" w:color="auto" w:fill="auto"/>
            <w:vAlign w:val="center"/>
          </w:tcPr>
          <w:p w14:paraId="7636086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Ethernet software upgrade</w:t>
            </w:r>
          </w:p>
        </w:tc>
      </w:tr>
      <w:tr w14:paraId="77C248D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16" w:hRule="atLeast"/>
          <w:tblCellSpacing w:w="0" w:type="dxa"/>
        </w:trPr>
        <w:tc>
          <w:tcPr>
            <w:tcW w:w="1845" w:type="dxa"/>
            <w:vMerge w:val="restart"/>
            <w:shd w:val="clear" w:color="auto" w:fill="auto"/>
            <w:vAlign w:val="center"/>
          </w:tcPr>
          <w:p w14:paraId="544A914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Style w:val="10"/>
              </w:rPr>
              <w:t>Miscellaneous</w:t>
            </w:r>
          </w:p>
        </w:tc>
        <w:tc>
          <w:tcPr>
            <w:tcW w:w="2265" w:type="dxa"/>
            <w:gridSpan w:val="2"/>
            <w:shd w:val="clear" w:color="auto" w:fill="auto"/>
            <w:vAlign w:val="center"/>
          </w:tcPr>
          <w:p w14:paraId="6FB8E41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Dimension(W×L×H)</w:t>
            </w:r>
          </w:p>
        </w:tc>
        <w:tc>
          <w:tcPr>
            <w:tcW w:w="4935" w:type="dxa"/>
            <w:shd w:val="clear" w:color="auto" w:fill="auto"/>
            <w:vAlign w:val="center"/>
          </w:tcPr>
          <w:p w14:paraId="7B3ED00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482mm×410mm×44mm</w:t>
            </w:r>
          </w:p>
        </w:tc>
      </w:tr>
      <w:tr w14:paraId="26DEA58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16" w:hRule="atLeast"/>
          <w:tblCellSpacing w:w="0" w:type="dxa"/>
        </w:trPr>
        <w:tc>
          <w:tcPr>
            <w:tcW w:w="1845" w:type="dxa"/>
            <w:vMerge w:val="continue"/>
            <w:shd w:val="clear" w:color="auto" w:fill="auto"/>
            <w:vAlign w:val="center"/>
          </w:tcPr>
          <w:p w14:paraId="10BECBFA">
            <w:pPr>
              <w:jc w:val="left"/>
              <w:rPr>
                <w:rFonts w:hint="eastAsia" w:ascii="宋体"/>
                <w:sz w:val="24"/>
                <w:szCs w:val="24"/>
              </w:rPr>
            </w:pPr>
          </w:p>
        </w:tc>
        <w:tc>
          <w:tcPr>
            <w:tcW w:w="2265" w:type="dxa"/>
            <w:gridSpan w:val="2"/>
            <w:shd w:val="clear" w:color="auto" w:fill="auto"/>
            <w:vAlign w:val="center"/>
          </w:tcPr>
          <w:p w14:paraId="4F18C56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Approx weight </w:t>
            </w:r>
          </w:p>
        </w:tc>
        <w:tc>
          <w:tcPr>
            <w:tcW w:w="4935" w:type="dxa"/>
            <w:shd w:val="clear" w:color="auto" w:fill="auto"/>
            <w:vAlign w:val="center"/>
          </w:tcPr>
          <w:p w14:paraId="4B0C0D2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8kg</w:t>
            </w:r>
          </w:p>
        </w:tc>
      </w:tr>
      <w:tr w14:paraId="765C375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16" w:hRule="atLeast"/>
          <w:tblCellSpacing w:w="0" w:type="dxa"/>
        </w:trPr>
        <w:tc>
          <w:tcPr>
            <w:tcW w:w="1845" w:type="dxa"/>
            <w:vMerge w:val="continue"/>
            <w:shd w:val="clear" w:color="auto" w:fill="auto"/>
            <w:vAlign w:val="center"/>
          </w:tcPr>
          <w:p w14:paraId="6EDF6B7F">
            <w:pPr>
              <w:jc w:val="left"/>
              <w:rPr>
                <w:rFonts w:hint="eastAsia" w:ascii="宋体"/>
                <w:sz w:val="24"/>
                <w:szCs w:val="24"/>
              </w:rPr>
            </w:pPr>
          </w:p>
        </w:tc>
        <w:tc>
          <w:tcPr>
            <w:tcW w:w="2265" w:type="dxa"/>
            <w:gridSpan w:val="2"/>
            <w:shd w:val="clear" w:color="auto" w:fill="auto"/>
            <w:vAlign w:val="center"/>
          </w:tcPr>
          <w:p w14:paraId="416BDB0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Environment</w:t>
            </w:r>
          </w:p>
        </w:tc>
        <w:tc>
          <w:tcPr>
            <w:tcW w:w="4935" w:type="dxa"/>
            <w:shd w:val="clear" w:color="auto" w:fill="auto"/>
            <w:vAlign w:val="center"/>
          </w:tcPr>
          <w:p w14:paraId="20B85D7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0~45℃(work)；-20~80℃（Storage）</w:t>
            </w:r>
          </w:p>
        </w:tc>
      </w:tr>
      <w:tr w14:paraId="663B1F7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16" w:hRule="atLeast"/>
          <w:tblCellSpacing w:w="0" w:type="dxa"/>
        </w:trPr>
        <w:tc>
          <w:tcPr>
            <w:tcW w:w="1845" w:type="dxa"/>
            <w:vMerge w:val="continue"/>
            <w:shd w:val="clear" w:color="auto" w:fill="auto"/>
            <w:vAlign w:val="center"/>
          </w:tcPr>
          <w:p w14:paraId="19A4C045">
            <w:pPr>
              <w:jc w:val="left"/>
              <w:rPr>
                <w:rFonts w:hint="eastAsia" w:ascii="宋体"/>
                <w:sz w:val="24"/>
                <w:szCs w:val="24"/>
              </w:rPr>
            </w:pPr>
          </w:p>
        </w:tc>
        <w:tc>
          <w:tcPr>
            <w:tcW w:w="2265" w:type="dxa"/>
            <w:gridSpan w:val="2"/>
            <w:shd w:val="clear" w:color="auto" w:fill="auto"/>
            <w:vAlign w:val="center"/>
          </w:tcPr>
          <w:p w14:paraId="44DDA8C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Power requirements </w:t>
            </w:r>
          </w:p>
        </w:tc>
        <w:tc>
          <w:tcPr>
            <w:tcW w:w="4935" w:type="dxa"/>
            <w:shd w:val="clear" w:color="auto" w:fill="auto"/>
            <w:vAlign w:val="center"/>
          </w:tcPr>
          <w:p w14:paraId="6219A7F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AC 110V± 10%, 50/60Hz, AC 220 ± 10%, 50/60Hz</w:t>
            </w:r>
          </w:p>
        </w:tc>
      </w:tr>
      <w:tr w14:paraId="2FA5FB6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26" w:hRule="atLeast"/>
          <w:tblCellSpacing w:w="0" w:type="dxa"/>
        </w:trPr>
        <w:tc>
          <w:tcPr>
            <w:tcW w:w="1845" w:type="dxa"/>
            <w:vMerge w:val="continue"/>
            <w:shd w:val="clear" w:color="auto" w:fill="auto"/>
            <w:vAlign w:val="center"/>
          </w:tcPr>
          <w:p w14:paraId="0A7F80C9">
            <w:pPr>
              <w:jc w:val="left"/>
              <w:rPr>
                <w:rFonts w:hint="eastAsia" w:ascii="宋体"/>
                <w:sz w:val="24"/>
                <w:szCs w:val="24"/>
              </w:rPr>
            </w:pPr>
          </w:p>
        </w:tc>
        <w:tc>
          <w:tcPr>
            <w:tcW w:w="2265" w:type="dxa"/>
            <w:gridSpan w:val="2"/>
            <w:shd w:val="clear" w:color="auto" w:fill="auto"/>
            <w:vAlign w:val="center"/>
          </w:tcPr>
          <w:p w14:paraId="6A5D5EE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Power consumption </w:t>
            </w:r>
          </w:p>
        </w:tc>
        <w:tc>
          <w:tcPr>
            <w:tcW w:w="4935" w:type="dxa"/>
            <w:shd w:val="clear" w:color="auto" w:fill="auto"/>
            <w:vAlign w:val="center"/>
          </w:tcPr>
          <w:p w14:paraId="08FB2E0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20W</w:t>
            </w:r>
          </w:p>
        </w:tc>
      </w:tr>
    </w:tbl>
    <w:p w14:paraId="75413AA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r>
        <w:rPr>
          <w:rFonts w:hint="default" w:ascii="Verdana" w:hAnsi="Verdana" w:cs="Verdana"/>
          <w:i w:val="0"/>
          <w:iCs w:val="0"/>
          <w:caps w:val="0"/>
          <w:color w:val="333333"/>
          <w:spacing w:val="0"/>
          <w:sz w:val="18"/>
          <w:szCs w:val="18"/>
          <w:shd w:val="clear" w:fill="FEFCFD"/>
        </w:rPr>
        <w:t> </w:t>
      </w:r>
    </w:p>
    <w:p w14:paraId="5C7364D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r>
        <w:rPr>
          <w:rStyle w:val="10"/>
          <w:rFonts w:hint="default" w:ascii="Verdana" w:hAnsi="Verdana" w:cs="Verdana"/>
          <w:i w:val="0"/>
          <w:iCs w:val="0"/>
          <w:caps w:val="0"/>
          <w:color w:val="333333"/>
          <w:spacing w:val="0"/>
          <w:sz w:val="18"/>
          <w:szCs w:val="18"/>
          <w:shd w:val="clear" w:fill="FEFCFD"/>
        </w:rPr>
        <w:t>Order Information</w:t>
      </w:r>
    </w:p>
    <w:tbl>
      <w:tblPr>
        <w:tblStyle w:val="7"/>
        <w:tblW w:w="975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autofit"/>
        <w:tblCellMar>
          <w:top w:w="0" w:type="dxa"/>
          <w:left w:w="0" w:type="dxa"/>
          <w:bottom w:w="0" w:type="dxa"/>
          <w:right w:w="0" w:type="dxa"/>
        </w:tblCellMar>
      </w:tblPr>
      <w:tblGrid>
        <w:gridCol w:w="1979"/>
        <w:gridCol w:w="2590"/>
        <w:gridCol w:w="2590"/>
        <w:gridCol w:w="2591"/>
      </w:tblGrid>
      <w:tr w14:paraId="73E7B03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blCellSpacing w:w="0" w:type="dxa"/>
        </w:trPr>
        <w:tc>
          <w:tcPr>
            <w:tcW w:w="1845" w:type="dxa"/>
            <w:shd w:val="clear" w:color="auto" w:fill="auto"/>
            <w:vAlign w:val="center"/>
          </w:tcPr>
          <w:p w14:paraId="7AFE7F1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 </w:t>
            </w:r>
          </w:p>
        </w:tc>
        <w:tc>
          <w:tcPr>
            <w:tcW w:w="2415" w:type="dxa"/>
            <w:shd w:val="clear" w:color="auto" w:fill="auto"/>
            <w:vAlign w:val="center"/>
          </w:tcPr>
          <w:p w14:paraId="07D3763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rPr>
                <w:rStyle w:val="10"/>
                <w:rFonts w:hint="eastAsia"/>
                <w:lang w:eastAsia="zh-CN"/>
              </w:rPr>
              <w:t>FU-4653</w:t>
            </w:r>
            <w:r>
              <w:rPr>
                <w:rStyle w:val="10"/>
              </w:rPr>
              <w:t>K/KA-8</w:t>
            </w:r>
          </w:p>
        </w:tc>
        <w:tc>
          <w:tcPr>
            <w:tcW w:w="2415" w:type="dxa"/>
            <w:shd w:val="clear" w:color="auto" w:fill="auto"/>
            <w:vAlign w:val="center"/>
          </w:tcPr>
          <w:p w14:paraId="4A6178D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rPr>
                <w:rStyle w:val="10"/>
                <w:rFonts w:hint="eastAsia"/>
                <w:lang w:eastAsia="zh-CN"/>
              </w:rPr>
              <w:t>FU-4653</w:t>
            </w:r>
            <w:r>
              <w:rPr>
                <w:rStyle w:val="10"/>
              </w:rPr>
              <w:t>K/KA-12</w:t>
            </w:r>
          </w:p>
        </w:tc>
        <w:tc>
          <w:tcPr>
            <w:tcW w:w="2415" w:type="dxa"/>
            <w:shd w:val="clear" w:color="auto" w:fill="auto"/>
            <w:vAlign w:val="center"/>
          </w:tcPr>
          <w:p w14:paraId="4274309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rPr>
                <w:rStyle w:val="10"/>
                <w:rFonts w:hint="eastAsia"/>
                <w:lang w:eastAsia="zh-CN"/>
              </w:rPr>
              <w:t>FU-4653</w:t>
            </w:r>
            <w:r>
              <w:rPr>
                <w:rStyle w:val="10"/>
              </w:rPr>
              <w:t>K/KA-24</w:t>
            </w:r>
          </w:p>
        </w:tc>
      </w:tr>
      <w:tr w14:paraId="1026D8D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11" w:hRule="atLeast"/>
          <w:tblCellSpacing w:w="0" w:type="dxa"/>
        </w:trPr>
        <w:tc>
          <w:tcPr>
            <w:tcW w:w="1845" w:type="dxa"/>
            <w:shd w:val="clear" w:color="auto" w:fill="auto"/>
            <w:vAlign w:val="center"/>
          </w:tcPr>
          <w:p w14:paraId="228B2BB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Style w:val="10"/>
              </w:rPr>
              <w:t>8CVBS Input</w:t>
            </w:r>
          </w:p>
        </w:tc>
        <w:tc>
          <w:tcPr>
            <w:tcW w:w="2415" w:type="dxa"/>
            <w:shd w:val="clear" w:color="auto" w:fill="auto"/>
            <w:vAlign w:val="center"/>
          </w:tcPr>
          <w:p w14:paraId="1186B91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                      √</w:t>
            </w:r>
          </w:p>
        </w:tc>
        <w:tc>
          <w:tcPr>
            <w:tcW w:w="2415" w:type="dxa"/>
            <w:shd w:val="clear" w:color="auto" w:fill="auto"/>
            <w:vAlign w:val="center"/>
          </w:tcPr>
          <w:p w14:paraId="1A3E21B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 </w:t>
            </w:r>
          </w:p>
        </w:tc>
        <w:tc>
          <w:tcPr>
            <w:tcW w:w="2415" w:type="dxa"/>
            <w:shd w:val="clear" w:color="auto" w:fill="auto"/>
            <w:vAlign w:val="center"/>
          </w:tcPr>
          <w:p w14:paraId="6ED2779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 </w:t>
            </w:r>
          </w:p>
        </w:tc>
      </w:tr>
      <w:tr w14:paraId="60F92C8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16" w:hRule="atLeast"/>
          <w:tblCellSpacing w:w="0" w:type="dxa"/>
        </w:trPr>
        <w:tc>
          <w:tcPr>
            <w:tcW w:w="1845" w:type="dxa"/>
            <w:shd w:val="clear" w:color="auto" w:fill="auto"/>
            <w:vAlign w:val="center"/>
          </w:tcPr>
          <w:p w14:paraId="49DC082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Style w:val="10"/>
              </w:rPr>
              <w:t>12CVBS Input</w:t>
            </w:r>
          </w:p>
        </w:tc>
        <w:tc>
          <w:tcPr>
            <w:tcW w:w="2415" w:type="dxa"/>
            <w:shd w:val="clear" w:color="auto" w:fill="auto"/>
            <w:vAlign w:val="center"/>
          </w:tcPr>
          <w:p w14:paraId="7BCC8C2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 </w:t>
            </w:r>
          </w:p>
        </w:tc>
        <w:tc>
          <w:tcPr>
            <w:tcW w:w="2415" w:type="dxa"/>
            <w:shd w:val="clear" w:color="auto" w:fill="auto"/>
            <w:vAlign w:val="center"/>
          </w:tcPr>
          <w:p w14:paraId="4ED9A2D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                    √</w:t>
            </w:r>
          </w:p>
        </w:tc>
        <w:tc>
          <w:tcPr>
            <w:tcW w:w="2415" w:type="dxa"/>
            <w:shd w:val="clear" w:color="auto" w:fill="auto"/>
            <w:vAlign w:val="center"/>
          </w:tcPr>
          <w:p w14:paraId="2728C1D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 </w:t>
            </w:r>
          </w:p>
        </w:tc>
      </w:tr>
      <w:tr w14:paraId="073DFAC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01" w:hRule="atLeast"/>
          <w:tblCellSpacing w:w="0" w:type="dxa"/>
        </w:trPr>
        <w:tc>
          <w:tcPr>
            <w:tcW w:w="1845" w:type="dxa"/>
            <w:shd w:val="clear" w:color="auto" w:fill="auto"/>
            <w:vAlign w:val="center"/>
          </w:tcPr>
          <w:p w14:paraId="3D07B3D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Style w:val="10"/>
              </w:rPr>
              <w:t>24CVBS Input</w:t>
            </w:r>
          </w:p>
        </w:tc>
        <w:tc>
          <w:tcPr>
            <w:tcW w:w="2415" w:type="dxa"/>
            <w:shd w:val="clear" w:color="auto" w:fill="auto"/>
            <w:vAlign w:val="center"/>
          </w:tcPr>
          <w:p w14:paraId="04922CD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 </w:t>
            </w:r>
          </w:p>
        </w:tc>
        <w:tc>
          <w:tcPr>
            <w:tcW w:w="2415" w:type="dxa"/>
            <w:shd w:val="clear" w:color="auto" w:fill="auto"/>
            <w:vAlign w:val="center"/>
          </w:tcPr>
          <w:p w14:paraId="343E1B2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 </w:t>
            </w:r>
          </w:p>
        </w:tc>
        <w:tc>
          <w:tcPr>
            <w:tcW w:w="2415" w:type="dxa"/>
            <w:shd w:val="clear" w:color="auto" w:fill="auto"/>
            <w:vAlign w:val="center"/>
          </w:tcPr>
          <w:p w14:paraId="0A05D46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                     √</w:t>
            </w:r>
          </w:p>
        </w:tc>
      </w:tr>
    </w:tbl>
    <w:p w14:paraId="5F3CAAA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r>
        <w:rPr>
          <w:rFonts w:hint="default" w:ascii="Verdana" w:hAnsi="Verdana" w:cs="Verdana"/>
          <w:i w:val="0"/>
          <w:iCs w:val="0"/>
          <w:caps w:val="0"/>
          <w:color w:val="333333"/>
          <w:spacing w:val="0"/>
          <w:sz w:val="18"/>
          <w:szCs w:val="18"/>
          <w:shd w:val="clear" w:fill="FEFCFD"/>
        </w:rPr>
        <w:t>  </w:t>
      </w:r>
    </w:p>
    <w:p w14:paraId="22F171A0">
      <w:pPr>
        <w:keepNext w:val="0"/>
        <w:keepLines w:val="0"/>
        <w:widowControl/>
        <w:suppressLineNumbers w:val="0"/>
        <w:shd w:val="clear" w:fill="F2F2F4"/>
        <w:spacing w:before="0" w:beforeAutospacing="0" w:after="0" w:afterAutospacing="0"/>
        <w:ind w:left="0" w:right="0" w:firstLine="0"/>
        <w:jc w:val="left"/>
        <w:rPr>
          <w:rFonts w:hint="default" w:ascii="Verdana" w:hAnsi="Verdana" w:cs="Verdana"/>
          <w:i w:val="0"/>
          <w:iCs w:val="0"/>
          <w:caps w:val="0"/>
          <w:color w:val="333333"/>
          <w:spacing w:val="0"/>
          <w:sz w:val="18"/>
          <w:szCs w:val="18"/>
        </w:rPr>
      </w:pPr>
    </w:p>
    <w:p w14:paraId="1F51F87E">
      <w:pPr>
        <w:rPr>
          <w:rFonts w:hint="default" w:ascii="Verdana" w:hAnsi="Verdana" w:cs="Verdana"/>
          <w:b w:val="0"/>
          <w:i w:val="0"/>
          <w:strike w:val="0"/>
          <w:color w:val="000000"/>
          <w:sz w:val="28"/>
          <w:lang w:val="en-US" w:eastAsia="zh-CN"/>
        </w:rPr>
      </w:pPr>
    </w:p>
    <w:p w14:paraId="15DFA570">
      <w:pPr>
        <w:rPr>
          <w:rFonts w:hint="eastAsia" w:ascii="Verdana" w:hAnsi="Verdana" w:cs="Verdana"/>
          <w:b/>
          <w:i w:val="0"/>
          <w:strike w:val="0"/>
          <w:color w:val="000000"/>
          <w:sz w:val="22"/>
          <w:lang w:val="en-US" w:eastAsia="zh-CN"/>
        </w:rPr>
      </w:pPr>
      <w:r>
        <w:rPr>
          <w:rFonts w:hint="eastAsia" w:ascii="Verdana" w:hAnsi="Verdana" w:cs="Verdana"/>
          <w:b/>
          <w:i w:val="0"/>
          <w:strike w:val="0"/>
          <w:color w:val="000000"/>
          <w:sz w:val="22"/>
          <w:lang w:val="en-US" w:eastAsia="zh-CN"/>
        </w:rPr>
        <w:t>About Us</w:t>
      </w:r>
    </w:p>
    <w:p w14:paraId="130CECDE">
      <w:pPr>
        <w:rPr>
          <w:rFonts w:hint="eastAsia" w:ascii="Verdana" w:hAnsi="Verdana" w:cs="Verdana"/>
          <w:b w:val="0"/>
          <w:i w:val="0"/>
          <w:strike w:val="0"/>
          <w:color w:val="000000"/>
          <w:sz w:val="18"/>
          <w:lang w:val="en-US" w:eastAsia="zh-CN"/>
        </w:rPr>
      </w:pPr>
      <w:r>
        <w:rPr>
          <w:rFonts w:hint="eastAsia" w:ascii="Verdana" w:hAnsi="Verdana" w:cs="Verdana"/>
          <w:b w:val="0"/>
          <w:i w:val="0"/>
          <w:strike w:val="0"/>
          <w:color w:val="000000"/>
          <w:sz w:val="18"/>
          <w:lang w:val="en-US" w:eastAsia="zh-CN"/>
        </w:rPr>
        <w:t xml:space="preserve">  FMUSER is a company specializing in broadcasting and television transmission systems and integrating hotel IPTV systems. The company was established in 2009 and has served over 180 countries worldwide. More than 20,000 television stations, radio stations, and hotel clients from different.</w:t>
      </w:r>
    </w:p>
    <w:p w14:paraId="5D9A6724">
      <w:pPr>
        <w:rPr>
          <w:rFonts w:hint="eastAsia" w:ascii="Verdana" w:hAnsi="Verdana" w:cs="Verdana"/>
          <w:b w:val="0"/>
          <w:i w:val="0"/>
          <w:strike w:val="0"/>
          <w:color w:val="000000"/>
          <w:sz w:val="18"/>
          <w:lang w:val="en-US" w:eastAsia="zh-CN"/>
        </w:rPr>
      </w:pPr>
      <w:r>
        <w:rPr>
          <w:rFonts w:hint="eastAsia" w:ascii="Verdana" w:hAnsi="Verdana" w:cs="Verdana"/>
          <w:b w:val="0"/>
          <w:i w:val="0"/>
          <w:strike w:val="0"/>
          <w:color w:val="000000"/>
          <w:sz w:val="18"/>
          <w:lang w:val="en-US" w:eastAsia="zh-CN"/>
        </w:rPr>
        <w:t xml:space="preserve">        </w:t>
      </w:r>
    </w:p>
    <w:p w14:paraId="5E2187D1">
      <w:pPr>
        <w:rPr>
          <w:rFonts w:hint="default" w:ascii="Verdana" w:hAnsi="Verdana" w:cs="Verdana"/>
          <w:b w:val="0"/>
          <w:i w:val="0"/>
          <w:strike w:val="0"/>
          <w:color w:val="000000"/>
          <w:sz w:val="18"/>
          <w:lang w:val="en-US" w:eastAsia="zh-CN"/>
        </w:rPr>
      </w:pPr>
      <w:r>
        <w:rPr>
          <w:rFonts w:hint="eastAsia" w:ascii="Verdana" w:hAnsi="Verdana" w:cs="Verdana"/>
          <w:b w:val="0"/>
          <w:i w:val="0"/>
          <w:strike w:val="0"/>
          <w:color w:val="000000"/>
          <w:sz w:val="18"/>
          <w:lang w:val="en-US" w:eastAsia="zh-CN"/>
        </w:rPr>
        <w:t xml:space="preserve">   Contact:Tomleequan    Email：sales@fmuser.com    whatsapp: +8613922702227</w:t>
      </w:r>
    </w:p>
    <w:sectPr>
      <w:headerReference r:id="rId3" w:type="default"/>
      <w:footerReference r:id="rId4" w:type="default"/>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Verdana">
    <w:panose1 w:val="020B0604030504040204"/>
    <w:charset w:val="00"/>
    <w:family w:val="auto"/>
    <w:pitch w:val="default"/>
    <w:sig w:usb0="A00006FF" w:usb1="4000205B" w:usb2="00000010" w:usb3="00000000" w:csb0="2000019F" w:csb1="00000000"/>
  </w:font>
  <w:font w:name="微软雅黑">
    <w:panose1 w:val="020B0503020204020204"/>
    <w:charset w:val="86"/>
    <w:family w:val="swiss"/>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1006DF">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59264" behindDoc="0" locked="0" layoutInCell="1" allowOverlap="1">
          <wp:simplePos x="0" y="0"/>
          <wp:positionH relativeFrom="column">
            <wp:posOffset>8255</wp:posOffset>
          </wp:positionH>
          <wp:positionV relativeFrom="paragraph">
            <wp:posOffset>-86360</wp:posOffset>
          </wp:positionV>
          <wp:extent cx="903605" cy="346075"/>
          <wp:effectExtent l="0" t="0" r="10795" b="0"/>
          <wp:wrapNone/>
          <wp:docPr id="4"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muser标志1.png"/>
                  <pic:cNvPicPr>
                    <a:picLocks noChangeAspect="1" noChangeArrowheads="1"/>
                  </pic:cNvPicPr>
                </pic:nvPicPr>
                <pic:blipFill>
                  <a:blip r:embed="rId1"/>
                  <a:srcRect/>
                  <a:stretch>
                    <a:fillRect/>
                  </a:stretch>
                </pic:blipFill>
                <pic:spPr>
                  <a:xfrm>
                    <a:off x="0" y="0"/>
                    <a:ext cx="903605" cy="346075"/>
                  </a:xfrm>
                  <a:prstGeom prst="rect">
                    <a:avLst/>
                  </a:prstGeom>
                  <a:noFill/>
                  <a:ln w="9525">
                    <a:noFill/>
                    <a:miter lim="800000"/>
                    <a:headEnd/>
                    <a:tailEnd/>
                  </a:ln>
                </pic:spPr>
              </pic:pic>
            </a:graphicData>
          </a:graphic>
        </wp:anchor>
      </w:drawing>
    </w:r>
    <w:r>
      <w:rPr>
        <w:rFonts w:ascii="微软雅黑" w:hAnsi="微软雅黑" w:eastAsia="微软雅黑"/>
      </w:rPr>
      <w:pict>
        <v:shape id="_x0000_s1026" o:spid="_x0000_s1026" o:spt="136" type="#_x0000_t136" style="position:absolute;left:0pt;margin-left:-6.85pt;margin-top:331pt;height:71.25pt;width:525pt;mso-position-horizontal-relative:margin;mso-position-vertical-relative:margin;rotation:20643840f;z-index:-251656192;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rPr>
        <w:rFonts w:hint="eastAsia" w:ascii="微软雅黑" w:hAnsi="微软雅黑" w:eastAsia="微软雅黑"/>
      </w:rPr>
      <w:fldChar w:fldCharType="begin"/>
    </w:r>
    <w:r>
      <w:rPr>
        <w:rFonts w:hint="eastAsia" w:ascii="微软雅黑" w:hAnsi="微软雅黑" w:eastAsia="微软雅黑"/>
      </w:rPr>
      <w:instrText xml:space="preserve"> HYPERLINK "mailto:sales@fmuser.com" </w:instrText>
    </w:r>
    <w:r>
      <w:rPr>
        <w:rFonts w:hint="eastAsia" w:ascii="微软雅黑" w:hAnsi="微软雅黑" w:eastAsia="微软雅黑"/>
      </w:rPr>
      <w:fldChar w:fldCharType="separate"/>
    </w:r>
    <w:r>
      <w:rPr>
        <w:rStyle w:val="12"/>
        <w:rFonts w:hint="eastAsia" w:ascii="微软雅黑" w:hAnsi="微软雅黑" w:eastAsia="微软雅黑"/>
      </w:rPr>
      <w:t>sales@fmuser.com</w:t>
    </w:r>
    <w:r>
      <w:rPr>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p w14:paraId="72FCA6E9">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1C5A63">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61312" behindDoc="0" locked="0" layoutInCell="1" allowOverlap="1">
          <wp:simplePos x="0" y="0"/>
          <wp:positionH relativeFrom="column">
            <wp:posOffset>8255</wp:posOffset>
          </wp:positionH>
          <wp:positionV relativeFrom="paragraph">
            <wp:posOffset>-64135</wp:posOffset>
          </wp:positionV>
          <wp:extent cx="846455" cy="323850"/>
          <wp:effectExtent l="0" t="0" r="10795" b="0"/>
          <wp:wrapNone/>
          <wp:docPr id="5"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Fmuser标志1.png"/>
                  <pic:cNvPicPr>
                    <a:picLocks noChangeAspect="1" noChangeArrowheads="1"/>
                  </pic:cNvPicPr>
                </pic:nvPicPr>
                <pic:blipFill>
                  <a:blip r:embed="rId1"/>
                  <a:srcRect/>
                  <a:stretch>
                    <a:fillRect/>
                  </a:stretch>
                </pic:blipFill>
                <pic:spPr>
                  <a:xfrm>
                    <a:off x="0" y="0"/>
                    <a:ext cx="846455" cy="323850"/>
                  </a:xfrm>
                  <a:prstGeom prst="rect">
                    <a:avLst/>
                  </a:prstGeom>
                  <a:noFill/>
                  <a:ln w="9525">
                    <a:noFill/>
                    <a:miter lim="800000"/>
                    <a:headEnd/>
                    <a:tailEnd/>
                  </a:ln>
                </pic:spPr>
              </pic:pic>
            </a:graphicData>
          </a:graphic>
        </wp:anchor>
      </w:drawing>
    </w:r>
    <w:r>
      <w:rPr>
        <w:rFonts w:ascii="微软雅黑" w:hAnsi="微软雅黑" w:eastAsia="微软雅黑"/>
      </w:rPr>
      <w:pict>
        <v:shape id="_x0000_s1027" o:spid="_x0000_s1027" o:spt="136" type="#_x0000_t136" style="position:absolute;left:0pt;margin-left:-6.85pt;margin-top:331pt;height:71.25pt;width:525pt;mso-position-horizontal-relative:margin;mso-position-vertical-relative:margin;rotation:20643840f;z-index:-251654144;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rPr>
        <w:rFonts w:hint="eastAsia" w:ascii="微软雅黑" w:hAnsi="微软雅黑" w:eastAsia="微软雅黑"/>
      </w:rPr>
      <w:fldChar w:fldCharType="begin"/>
    </w:r>
    <w:r>
      <w:rPr>
        <w:rFonts w:hint="eastAsia" w:ascii="微软雅黑" w:hAnsi="微软雅黑" w:eastAsia="微软雅黑"/>
      </w:rPr>
      <w:instrText xml:space="preserve"> HYPERLINK "mailto:sales@fmuser.com" </w:instrText>
    </w:r>
    <w:r>
      <w:rPr>
        <w:rFonts w:hint="eastAsia" w:ascii="微软雅黑" w:hAnsi="微软雅黑" w:eastAsia="微软雅黑"/>
      </w:rPr>
      <w:fldChar w:fldCharType="separate"/>
    </w:r>
    <w:r>
      <w:rPr>
        <w:rStyle w:val="12"/>
        <w:rFonts w:hint="eastAsia" w:ascii="微软雅黑" w:hAnsi="微软雅黑" w:eastAsia="微软雅黑"/>
      </w:rPr>
      <w:t>sales@fmuser.com</w:t>
    </w:r>
    <w:r>
      <w:rPr>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rsids>
    <w:rsidRoot w:val="008D6808"/>
    <w:rsid w:val="00020F1A"/>
    <w:rsid w:val="0004363E"/>
    <w:rsid w:val="000C61CB"/>
    <w:rsid w:val="001D0C80"/>
    <w:rsid w:val="001E63E5"/>
    <w:rsid w:val="00215238"/>
    <w:rsid w:val="00227839"/>
    <w:rsid w:val="00270F98"/>
    <w:rsid w:val="003743F3"/>
    <w:rsid w:val="003F2047"/>
    <w:rsid w:val="00444478"/>
    <w:rsid w:val="00453C05"/>
    <w:rsid w:val="00465307"/>
    <w:rsid w:val="0049468E"/>
    <w:rsid w:val="00622ACE"/>
    <w:rsid w:val="00665764"/>
    <w:rsid w:val="00731840"/>
    <w:rsid w:val="007349B0"/>
    <w:rsid w:val="007359E2"/>
    <w:rsid w:val="0077681E"/>
    <w:rsid w:val="008D6808"/>
    <w:rsid w:val="00952937"/>
    <w:rsid w:val="00A16F8C"/>
    <w:rsid w:val="00A35CEF"/>
    <w:rsid w:val="00AE759F"/>
    <w:rsid w:val="00AF7C10"/>
    <w:rsid w:val="00B11FEF"/>
    <w:rsid w:val="00B4381C"/>
    <w:rsid w:val="00B539FF"/>
    <w:rsid w:val="00B56E04"/>
    <w:rsid w:val="00BD4043"/>
    <w:rsid w:val="00C44FAF"/>
    <w:rsid w:val="00D24477"/>
    <w:rsid w:val="00F268A0"/>
    <w:rsid w:val="00F714FF"/>
    <w:rsid w:val="00F7593F"/>
    <w:rsid w:val="00FC60FC"/>
    <w:rsid w:val="01330B96"/>
    <w:rsid w:val="033D434A"/>
    <w:rsid w:val="0A680B1B"/>
    <w:rsid w:val="0E714EC9"/>
    <w:rsid w:val="0FC87CEA"/>
    <w:rsid w:val="101C4557"/>
    <w:rsid w:val="15C25510"/>
    <w:rsid w:val="18AE427D"/>
    <w:rsid w:val="18E81EA3"/>
    <w:rsid w:val="1B974A15"/>
    <w:rsid w:val="1CDC4CA0"/>
    <w:rsid w:val="1FCC39C5"/>
    <w:rsid w:val="20F61905"/>
    <w:rsid w:val="2199682E"/>
    <w:rsid w:val="239E3C7B"/>
    <w:rsid w:val="277412A6"/>
    <w:rsid w:val="27B55639"/>
    <w:rsid w:val="2A752F8B"/>
    <w:rsid w:val="2C665CEA"/>
    <w:rsid w:val="2E0F6BE8"/>
    <w:rsid w:val="30657879"/>
    <w:rsid w:val="314F3E41"/>
    <w:rsid w:val="34FB26F2"/>
    <w:rsid w:val="37A27AB1"/>
    <w:rsid w:val="3B533162"/>
    <w:rsid w:val="44E01F12"/>
    <w:rsid w:val="45872050"/>
    <w:rsid w:val="478E224E"/>
    <w:rsid w:val="485E04E5"/>
    <w:rsid w:val="487316FE"/>
    <w:rsid w:val="49655510"/>
    <w:rsid w:val="49B75FAC"/>
    <w:rsid w:val="4A4F5318"/>
    <w:rsid w:val="4AE62693"/>
    <w:rsid w:val="4E4A4BF6"/>
    <w:rsid w:val="4F8D25ED"/>
    <w:rsid w:val="51AD130D"/>
    <w:rsid w:val="540A3FAB"/>
    <w:rsid w:val="548E2143"/>
    <w:rsid w:val="562E484B"/>
    <w:rsid w:val="56834992"/>
    <w:rsid w:val="5930748A"/>
    <w:rsid w:val="59933671"/>
    <w:rsid w:val="5AA83521"/>
    <w:rsid w:val="5EEA5249"/>
    <w:rsid w:val="609213A6"/>
    <w:rsid w:val="61BA6334"/>
    <w:rsid w:val="63C27F07"/>
    <w:rsid w:val="68AD6386"/>
    <w:rsid w:val="6D7A6503"/>
    <w:rsid w:val="6FBF5037"/>
    <w:rsid w:val="70757613"/>
    <w:rsid w:val="70B756B4"/>
    <w:rsid w:val="73270F88"/>
    <w:rsid w:val="74455F31"/>
    <w:rsid w:val="7540100C"/>
    <w:rsid w:val="77935A18"/>
    <w:rsid w:val="7B8E7427"/>
    <w:rsid w:val="7EAE425E"/>
    <w:rsid w:val="7FDF1E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5"/>
    <w:basedOn w:val="1"/>
    <w:next w:val="1"/>
    <w:semiHidden/>
    <w:unhideWhenUsed/>
    <w:qFormat/>
    <w:uiPriority w:val="9"/>
    <w:pPr>
      <w:spacing w:before="0" w:beforeAutospacing="1" w:after="0" w:afterAutospacing="1"/>
      <w:jc w:val="left"/>
    </w:pPr>
    <w:rPr>
      <w:rFonts w:hint="eastAsia" w:ascii="宋体" w:hAnsi="宋体" w:eastAsia="宋体" w:cs="宋体"/>
      <w:b/>
      <w:bCs/>
      <w:kern w:val="0"/>
      <w:sz w:val="20"/>
      <w:szCs w:val="20"/>
      <w:lang w:val="en-US" w:eastAsia="zh-CN" w:bidi="ar"/>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6"/>
    <w:semiHidden/>
    <w:unhideWhenUsed/>
    <w:qFormat/>
    <w:uiPriority w:val="99"/>
    <w:rPr>
      <w:sz w:val="18"/>
      <w:szCs w:val="18"/>
    </w:rPr>
  </w:style>
  <w:style w:type="paragraph" w:styleId="4">
    <w:name w:val="footer"/>
    <w:basedOn w:val="1"/>
    <w:link w:val="14"/>
    <w:semiHidden/>
    <w:unhideWhenUsed/>
    <w:qFormat/>
    <w:uiPriority w:val="99"/>
    <w:pPr>
      <w:tabs>
        <w:tab w:val="center" w:pos="4153"/>
        <w:tab w:val="right" w:pos="8306"/>
      </w:tabs>
      <w:snapToGrid w:val="0"/>
      <w:jc w:val="left"/>
    </w:pPr>
    <w:rPr>
      <w:sz w:val="18"/>
      <w:szCs w:val="18"/>
    </w:rPr>
  </w:style>
  <w:style w:type="paragraph" w:styleId="5">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8">
    <w:name w:val="Table Grid"/>
    <w:basedOn w:val="7"/>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0">
    <w:name w:val="Strong"/>
    <w:basedOn w:val="9"/>
    <w:qFormat/>
    <w:uiPriority w:val="22"/>
    <w:rPr>
      <w:b/>
    </w:rPr>
  </w:style>
  <w:style w:type="character" w:styleId="11">
    <w:name w:val="FollowedHyperlink"/>
    <w:basedOn w:val="9"/>
    <w:semiHidden/>
    <w:unhideWhenUsed/>
    <w:qFormat/>
    <w:uiPriority w:val="99"/>
    <w:rPr>
      <w:color w:val="800080" w:themeColor="followedHyperlink"/>
      <w:u w:val="single"/>
    </w:rPr>
  </w:style>
  <w:style w:type="character" w:styleId="12">
    <w:name w:val="Hyperlink"/>
    <w:basedOn w:val="9"/>
    <w:unhideWhenUsed/>
    <w:qFormat/>
    <w:uiPriority w:val="99"/>
    <w:rPr>
      <w:color w:val="0000FF"/>
      <w:u w:val="single"/>
    </w:rPr>
  </w:style>
  <w:style w:type="character" w:customStyle="1" w:styleId="13">
    <w:name w:val="页眉 Char"/>
    <w:basedOn w:val="9"/>
    <w:link w:val="5"/>
    <w:semiHidden/>
    <w:qFormat/>
    <w:uiPriority w:val="99"/>
    <w:rPr>
      <w:sz w:val="18"/>
      <w:szCs w:val="18"/>
    </w:rPr>
  </w:style>
  <w:style w:type="character" w:customStyle="1" w:styleId="14">
    <w:name w:val="页脚 Char"/>
    <w:basedOn w:val="9"/>
    <w:link w:val="4"/>
    <w:semiHidden/>
    <w:qFormat/>
    <w:uiPriority w:val="99"/>
    <w:rPr>
      <w:sz w:val="18"/>
      <w:szCs w:val="18"/>
    </w:rPr>
  </w:style>
  <w:style w:type="paragraph" w:styleId="15">
    <w:name w:val="List Paragraph"/>
    <w:basedOn w:val="1"/>
    <w:qFormat/>
    <w:uiPriority w:val="34"/>
    <w:pPr>
      <w:ind w:firstLine="420" w:firstLineChars="200"/>
    </w:pPr>
    <w:rPr>
      <w:rFonts w:ascii="Times New Roman" w:hAnsi="Times New Roman" w:eastAsia="宋体" w:cs="Times New Roman"/>
      <w:szCs w:val="24"/>
    </w:rPr>
  </w:style>
  <w:style w:type="character" w:customStyle="1" w:styleId="16">
    <w:name w:val="批注框文本 Char"/>
    <w:basedOn w:val="9"/>
    <w:link w:val="3"/>
    <w:semiHidden/>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hyperlink" Target="https://english.dsdvb.com/Upload/images/Product/Encoder/NDS3542K/3EEECN_20171102012749.jpg" TargetMode="External"/><Relationship Id="rId8" Type="http://schemas.openxmlformats.org/officeDocument/2006/relationships/image" Target="media/image3.jpeg"/><Relationship Id="rId7" Type="http://schemas.openxmlformats.org/officeDocument/2006/relationships/hyperlink" Target="https://english.dsdvb.com/Upload/images/Product/Encoder/NDS3542KB/3EEECN_20190430055445.jpg" TargetMode="External"/><Relationship Id="rId6" Type="http://schemas.openxmlformats.org/officeDocument/2006/relationships/image" Target="media/image2.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1.xml"/><Relationship Id="rId10" Type="http://schemas.openxmlformats.org/officeDocument/2006/relationships/image" Target="media/image4.jpeg"/><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7"/>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3</Pages>
  <Words>110</Words>
  <Characters>698</Characters>
  <Lines>4</Lines>
  <Paragraphs>1</Paragraphs>
  <TotalTime>55</TotalTime>
  <ScaleCrop>false</ScaleCrop>
  <LinksUpToDate>false</LinksUpToDate>
  <CharactersWithSpaces>799</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2024-03-18T11:01:00Z</dcterms:created>
  <dc:creator>AutoBVT</dc:creator>
  <cp:lastModifiedBy>1</cp:lastModifiedBy>
  <dcterms:modified xsi:type="dcterms:W3CDTF">2025-08-20T02:16:16Z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eyJoZGlkIjoiMWY5MzNhYTQwNDc4OGVmNTg4NzE2OTM4MDFkMTQzMmUiLCJ1c2VySWQiOiI4MTk0Mzc2NzQifQ==</vt:lpwstr>
  </property>
  <property fmtid="{D5CDD505-2E9C-101B-9397-08002B2CF9AE}" pid="3" name="KSOProductBuildVer">
    <vt:lpwstr>2052-12.1.0.22529</vt:lpwstr>
  </property>
  <property fmtid="{D5CDD505-2E9C-101B-9397-08002B2CF9AE}" pid="4" name="ICV">
    <vt:lpwstr>3EA267FE38654E16AB0D6AF56450EEA5_13</vt:lpwstr>
  </property>
</Properties>
</file>