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597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FUQ-4655AB Encoder 12 HD-SDI &amp; 32 IP Inputs MPEG-2 H.264 Encoding 1 MPTS 12 SPTS UDP-RTP Streaming for CATV Satellite Terrestrial TV</w:t>
      </w:r>
    </w:p>
    <w:p w14:paraId="7CE147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b w:val="0"/>
          <w:i w:val="0"/>
          <w:strike w:val="0"/>
          <w:color w:val="000000"/>
          <w:sz w:val="28"/>
          <w:lang w:val="en-US" w:eastAsia="zh-CN"/>
        </w:rPr>
        <w:drawing>
          <wp:inline distT="0" distB="0" distL="114300" distR="114300">
            <wp:extent cx="6181725" cy="3400425"/>
            <wp:effectExtent l="0" t="0" r="9525" b="9525"/>
            <wp:docPr id="1" name="图片 1" descr="3EEECN_20171124085741"/>
            <wp:cNvGraphicFramePr/>
            <a:graphic xmlns:a="http://schemas.openxmlformats.org/drawingml/2006/main">
              <a:graphicData uri="http://schemas.openxmlformats.org/drawingml/2006/picture">
                <pic:pic xmlns:pic="http://schemas.openxmlformats.org/drawingml/2006/picture">
                  <pic:nvPicPr>
                    <pic:cNvPr id="1" name="图片 1" descr="3EEECN_20171124085741"/>
                    <pic:cNvPicPr/>
                  </pic:nvPicPr>
                  <pic:blipFill>
                    <a:blip r:embed="rId6"/>
                    <a:stretch>
                      <a:fillRect/>
                    </a:stretch>
                  </pic:blipFill>
                  <pic:spPr>
                    <a:xfrm>
                      <a:off x="0" y="0"/>
                      <a:ext cx="6181725" cy="3400425"/>
                    </a:xfrm>
                    <a:prstGeom prst="rect">
                      <a:avLst/>
                    </a:prstGeom>
                  </pic:spPr>
                </pic:pic>
              </a:graphicData>
            </a:graphic>
          </wp:inline>
        </w:drawing>
      </w:r>
      <w:r>
        <w:rPr>
          <w:rStyle w:val="10"/>
          <w:rFonts w:ascii="Verdana" w:hAnsi="Verdana" w:cs="Verdana"/>
          <w:i w:val="0"/>
          <w:iCs w:val="0"/>
          <w:caps w:val="0"/>
          <w:color w:val="333333"/>
          <w:spacing w:val="0"/>
          <w:sz w:val="18"/>
          <w:szCs w:val="18"/>
          <w:shd w:val="clear" w:fill="FEFCFD"/>
        </w:rPr>
        <w:t>Product Overview</w:t>
      </w:r>
    </w:p>
    <w:p w14:paraId="1BB2E1F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The FUQ-4655AB encoder processes signals with 12 HD-SDI inputs and 32 IP inputs, outputting 1 MPTS and 12 SPTS over UDP/RTP/RTSP. It encodes video in MPEG-2 or MPEG-4 AVC/H.264 and handles Dolby Digital AC3 audio. Managed via a web interface, this unit is optimized for CATV, satellite, and terrestrial digital TV systems.</w:t>
      </w:r>
    </w:p>
    <w:p w14:paraId="79A8DE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2E4B869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12 HD-SDI inputs for MPEG-2 or MPEG-4 AVC/H.264 encoding with EIA608/EIA708 closed captioning.  </w:t>
      </w:r>
    </w:p>
    <w:p w14:paraId="65CB6C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Handles audio encoding including MPEG1 Layer II, MPEG2-AAC, MPEG4-AAC, and Dolby Digital AC3 (2.0) with passthrough.  </w:t>
      </w:r>
    </w:p>
    <w:p w14:paraId="2C49AA7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Provides 32 IP inputs over UDP/RTP and outputs 1 MPTS/12 SPTS via DATA1/DATA2 ports.  </w:t>
      </w:r>
    </w:p>
    <w:p w14:paraId="4CE3B9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Enables PID remapping, PCR adjusting, and PSI/SI table editing/inserting.  </w:t>
      </w:r>
    </w:p>
    <w:p w14:paraId="414212F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Features web-based management for configuration and updates.</w:t>
      </w:r>
    </w:p>
    <w:p w14:paraId="68BFAAE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Principle Chart</w:t>
      </w:r>
    </w:p>
    <w:p w14:paraId="7D1C9E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1629C5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4168775"/>
            <wp:effectExtent l="0" t="0" r="3810" b="317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7440" cy="4168775"/>
                    </a:xfrm>
                    <a:prstGeom prst="rect">
                      <a:avLst/>
                    </a:prstGeom>
                    <a:noFill/>
                    <a:ln w="9525">
                      <a:noFill/>
                    </a:ln>
                  </pic:spPr>
                </pic:pic>
              </a:graphicData>
            </a:graphic>
          </wp:inline>
        </w:drawing>
      </w:r>
    </w:p>
    <w:p w14:paraId="7ADE3C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Technical Specification</w:t>
      </w:r>
    </w:p>
    <w:p w14:paraId="6AF62B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790"/>
        <w:gridCol w:w="1665"/>
        <w:gridCol w:w="888"/>
        <w:gridCol w:w="159"/>
        <w:gridCol w:w="5248"/>
      </w:tblGrid>
      <w:tr w14:paraId="78B15F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695" w:type="dxa"/>
            <w:shd w:val="clear" w:color="auto" w:fill="auto"/>
            <w:vAlign w:val="center"/>
          </w:tcPr>
          <w:p w14:paraId="409247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Input</w:t>
            </w:r>
          </w:p>
        </w:tc>
        <w:tc>
          <w:tcPr>
            <w:tcW w:w="7515" w:type="dxa"/>
            <w:gridSpan w:val="4"/>
            <w:shd w:val="clear" w:color="auto" w:fill="auto"/>
            <w:vAlign w:val="center"/>
          </w:tcPr>
          <w:p w14:paraId="31E350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HD-SDI inputs with CC (EIA608/EIA708)</w:t>
            </w:r>
          </w:p>
          <w:p w14:paraId="30376E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 IP input over UDP and RTP through DATA 1 port</w:t>
            </w:r>
          </w:p>
        </w:tc>
      </w:tr>
      <w:tr w14:paraId="707AB3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40" w:hRule="atLeast"/>
          <w:tblCellSpacing w:w="0" w:type="dxa"/>
        </w:trPr>
        <w:tc>
          <w:tcPr>
            <w:tcW w:w="1695" w:type="dxa"/>
            <w:vMerge w:val="restart"/>
            <w:shd w:val="clear" w:color="auto" w:fill="auto"/>
            <w:vAlign w:val="center"/>
          </w:tcPr>
          <w:p w14:paraId="6CC857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Video</w:t>
            </w:r>
          </w:p>
        </w:tc>
        <w:tc>
          <w:tcPr>
            <w:tcW w:w="1575" w:type="dxa"/>
            <w:vMerge w:val="restart"/>
            <w:shd w:val="clear" w:color="auto" w:fill="auto"/>
            <w:vAlign w:val="center"/>
          </w:tcPr>
          <w:p w14:paraId="60FE420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Resolution</w:t>
            </w:r>
          </w:p>
        </w:tc>
        <w:tc>
          <w:tcPr>
            <w:tcW w:w="990" w:type="dxa"/>
            <w:gridSpan w:val="2"/>
            <w:shd w:val="clear" w:color="auto" w:fill="auto"/>
            <w:vAlign w:val="center"/>
          </w:tcPr>
          <w:p w14:paraId="0D55C38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w:t>
            </w:r>
          </w:p>
        </w:tc>
        <w:tc>
          <w:tcPr>
            <w:tcW w:w="4965" w:type="dxa"/>
            <w:shd w:val="clear" w:color="auto" w:fill="auto"/>
            <w:vAlign w:val="center"/>
          </w:tcPr>
          <w:p w14:paraId="5591C7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1920*1080_50p,1920*1080_60i, 1920*1080_50i, 1280*720_60p, 1280*720_50P,</w:t>
            </w:r>
          </w:p>
          <w:p w14:paraId="0CF508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720*480_60i, 720*576_50i</w:t>
            </w:r>
          </w:p>
        </w:tc>
      </w:tr>
      <w:tr w14:paraId="334F47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51" w:hRule="atLeast"/>
          <w:tblCellSpacing w:w="0" w:type="dxa"/>
        </w:trPr>
        <w:tc>
          <w:tcPr>
            <w:tcW w:w="1695" w:type="dxa"/>
            <w:vMerge w:val="continue"/>
            <w:shd w:val="clear" w:color="auto" w:fill="auto"/>
            <w:vAlign w:val="center"/>
          </w:tcPr>
          <w:p w14:paraId="285EAE2B">
            <w:pPr>
              <w:jc w:val="left"/>
              <w:rPr>
                <w:rFonts w:hint="eastAsia" w:ascii="宋体"/>
                <w:sz w:val="24"/>
                <w:szCs w:val="24"/>
              </w:rPr>
            </w:pPr>
          </w:p>
        </w:tc>
        <w:tc>
          <w:tcPr>
            <w:tcW w:w="1575" w:type="dxa"/>
            <w:vMerge w:val="continue"/>
            <w:shd w:val="clear" w:color="auto" w:fill="auto"/>
            <w:vAlign w:val="center"/>
          </w:tcPr>
          <w:p w14:paraId="7948CF92">
            <w:pPr>
              <w:jc w:val="left"/>
              <w:rPr>
                <w:rFonts w:hint="eastAsia" w:ascii="宋体"/>
                <w:sz w:val="24"/>
                <w:szCs w:val="24"/>
              </w:rPr>
            </w:pPr>
          </w:p>
        </w:tc>
        <w:tc>
          <w:tcPr>
            <w:tcW w:w="990" w:type="dxa"/>
            <w:gridSpan w:val="2"/>
            <w:shd w:val="clear" w:color="auto" w:fill="auto"/>
            <w:vAlign w:val="center"/>
          </w:tcPr>
          <w:p w14:paraId="41ADBB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Output</w:t>
            </w:r>
          </w:p>
        </w:tc>
        <w:tc>
          <w:tcPr>
            <w:tcW w:w="4965" w:type="dxa"/>
            <w:shd w:val="clear" w:color="auto" w:fill="auto"/>
            <w:vAlign w:val="center"/>
          </w:tcPr>
          <w:p w14:paraId="7027C1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1920*1080_60p, 1920*1080_50p,1920*1080_60i, 1920*1080_50i, 1440*1080_60i, 1440*1080_50i,</w:t>
            </w:r>
          </w:p>
          <w:p w14:paraId="73D07E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1280*720_60p, 1280*720_50P, 720*576_50p,</w:t>
            </w:r>
          </w:p>
          <w:p w14:paraId="2731F0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720*576_50i, 720*576_30p, 720*576_25p,</w:t>
            </w:r>
          </w:p>
          <w:p w14:paraId="532243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720*480_60p, 720*480_60i,720*480_30p, 720*480_25p,320*240_60p,320*240_50p,</w:t>
            </w:r>
          </w:p>
          <w:p w14:paraId="290646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320*240_30p, 320*240_25p,320*180_60p, 320*180_50p, 320*180_30p, 320*180_25p,</w:t>
            </w:r>
          </w:p>
          <w:p w14:paraId="25B4C7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960*540_50i, 704*576_50i,704*480_60i, 640*576_50i</w:t>
            </w:r>
          </w:p>
          <w:p w14:paraId="64530B0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640*480_60i, 544*576_50i,544*480_60i,</w:t>
            </w:r>
          </w:p>
        </w:tc>
      </w:tr>
      <w:tr w14:paraId="3AE77C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118DCB08">
            <w:pPr>
              <w:jc w:val="left"/>
              <w:rPr>
                <w:rFonts w:hint="eastAsia" w:ascii="宋体"/>
                <w:sz w:val="24"/>
                <w:szCs w:val="24"/>
              </w:rPr>
            </w:pPr>
          </w:p>
        </w:tc>
        <w:tc>
          <w:tcPr>
            <w:tcW w:w="1575" w:type="dxa"/>
            <w:shd w:val="clear" w:color="auto" w:fill="auto"/>
            <w:vAlign w:val="center"/>
          </w:tcPr>
          <w:p w14:paraId="50B8B7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955" w:type="dxa"/>
            <w:gridSpan w:val="3"/>
            <w:shd w:val="clear" w:color="auto" w:fill="auto"/>
            <w:vAlign w:val="center"/>
          </w:tcPr>
          <w:p w14:paraId="6BA2CF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MPEG2 &amp; MPEG4 AVC/H.264</w:t>
            </w:r>
          </w:p>
        </w:tc>
      </w:tr>
      <w:tr w14:paraId="2EE1925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continue"/>
            <w:shd w:val="clear" w:color="auto" w:fill="auto"/>
            <w:vAlign w:val="center"/>
          </w:tcPr>
          <w:p w14:paraId="4304560C">
            <w:pPr>
              <w:jc w:val="left"/>
              <w:rPr>
                <w:rFonts w:hint="eastAsia" w:ascii="宋体"/>
                <w:sz w:val="24"/>
                <w:szCs w:val="24"/>
              </w:rPr>
            </w:pPr>
          </w:p>
        </w:tc>
        <w:tc>
          <w:tcPr>
            <w:tcW w:w="1575" w:type="dxa"/>
            <w:shd w:val="clear" w:color="auto" w:fill="auto"/>
            <w:vAlign w:val="center"/>
          </w:tcPr>
          <w:p w14:paraId="02681E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955" w:type="dxa"/>
            <w:gridSpan w:val="3"/>
            <w:shd w:val="clear" w:color="auto" w:fill="auto"/>
            <w:vAlign w:val="center"/>
          </w:tcPr>
          <w:p w14:paraId="4D7EF37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0.8~19Mbps for H.264 encoding</w:t>
            </w:r>
          </w:p>
          <w:p w14:paraId="5833CE3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1~19Mbps for MPEG-2 encoding</w:t>
            </w:r>
          </w:p>
        </w:tc>
      </w:tr>
      <w:tr w14:paraId="3586E7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01" w:hRule="atLeast"/>
          <w:tblCellSpacing w:w="0" w:type="dxa"/>
        </w:trPr>
        <w:tc>
          <w:tcPr>
            <w:tcW w:w="1695" w:type="dxa"/>
            <w:vMerge w:val="continue"/>
            <w:shd w:val="clear" w:color="auto" w:fill="auto"/>
            <w:vAlign w:val="center"/>
          </w:tcPr>
          <w:p w14:paraId="22EF3398">
            <w:pPr>
              <w:jc w:val="left"/>
              <w:rPr>
                <w:rFonts w:hint="eastAsia" w:ascii="宋体"/>
                <w:sz w:val="24"/>
                <w:szCs w:val="24"/>
              </w:rPr>
            </w:pPr>
          </w:p>
        </w:tc>
        <w:tc>
          <w:tcPr>
            <w:tcW w:w="1575" w:type="dxa"/>
            <w:shd w:val="clear" w:color="auto" w:fill="auto"/>
            <w:vAlign w:val="center"/>
          </w:tcPr>
          <w:p w14:paraId="60DCAA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Rate Control</w:t>
            </w:r>
          </w:p>
        </w:tc>
        <w:tc>
          <w:tcPr>
            <w:tcW w:w="5955" w:type="dxa"/>
            <w:gridSpan w:val="3"/>
            <w:shd w:val="clear" w:color="auto" w:fill="auto"/>
            <w:vAlign w:val="center"/>
          </w:tcPr>
          <w:p w14:paraId="726214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CBR/VBR</w:t>
            </w:r>
          </w:p>
        </w:tc>
      </w:tr>
      <w:tr w14:paraId="6141B03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695" w:type="dxa"/>
            <w:vMerge w:val="continue"/>
            <w:shd w:val="clear" w:color="auto" w:fill="auto"/>
            <w:vAlign w:val="center"/>
          </w:tcPr>
          <w:p w14:paraId="0C699DC9">
            <w:pPr>
              <w:jc w:val="left"/>
              <w:rPr>
                <w:rFonts w:hint="eastAsia" w:ascii="宋体"/>
                <w:sz w:val="24"/>
                <w:szCs w:val="24"/>
              </w:rPr>
            </w:pPr>
          </w:p>
        </w:tc>
        <w:tc>
          <w:tcPr>
            <w:tcW w:w="1575" w:type="dxa"/>
            <w:shd w:val="clear" w:color="auto" w:fill="auto"/>
            <w:vAlign w:val="center"/>
          </w:tcPr>
          <w:p w14:paraId="7142A18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Structure</w:t>
            </w:r>
          </w:p>
        </w:tc>
        <w:tc>
          <w:tcPr>
            <w:tcW w:w="5955" w:type="dxa"/>
            <w:gridSpan w:val="3"/>
            <w:shd w:val="clear" w:color="auto" w:fill="auto"/>
            <w:vAlign w:val="center"/>
          </w:tcPr>
          <w:p w14:paraId="075A7E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GOP B Frame: 0-3, GOP P Frame: 0-6</w:t>
            </w:r>
          </w:p>
        </w:tc>
      </w:tr>
      <w:tr w14:paraId="7D6DA0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86" w:hRule="atLeast"/>
          <w:tblCellSpacing w:w="0" w:type="dxa"/>
        </w:trPr>
        <w:tc>
          <w:tcPr>
            <w:tcW w:w="1695" w:type="dxa"/>
            <w:vMerge w:val="restart"/>
            <w:shd w:val="clear" w:color="auto" w:fill="auto"/>
            <w:vAlign w:val="center"/>
          </w:tcPr>
          <w:p w14:paraId="5A7BA9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Audio</w:t>
            </w:r>
          </w:p>
        </w:tc>
        <w:tc>
          <w:tcPr>
            <w:tcW w:w="1575" w:type="dxa"/>
            <w:shd w:val="clear" w:color="auto" w:fill="auto"/>
            <w:vAlign w:val="center"/>
          </w:tcPr>
          <w:p w14:paraId="37AC45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Encoding</w:t>
            </w:r>
          </w:p>
        </w:tc>
        <w:tc>
          <w:tcPr>
            <w:tcW w:w="5955" w:type="dxa"/>
            <w:gridSpan w:val="3"/>
            <w:shd w:val="clear" w:color="auto" w:fill="auto"/>
            <w:vAlign w:val="center"/>
          </w:tcPr>
          <w:p w14:paraId="06FF48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MPEG1 Layer II, MPEG2-AAC, MPEG4-AAC,</w:t>
            </w:r>
          </w:p>
          <w:p w14:paraId="4FA9A1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Dolby Digital AC3 (2.0) encoding,</w:t>
            </w:r>
          </w:p>
          <w:p w14:paraId="517E52D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AC3 (2.0/5.1) passthrough</w:t>
            </w:r>
          </w:p>
        </w:tc>
      </w:tr>
      <w:tr w14:paraId="511BB9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782A0467">
            <w:pPr>
              <w:jc w:val="left"/>
              <w:rPr>
                <w:rFonts w:hint="eastAsia" w:ascii="宋体"/>
                <w:sz w:val="24"/>
                <w:szCs w:val="24"/>
              </w:rPr>
            </w:pPr>
          </w:p>
        </w:tc>
        <w:tc>
          <w:tcPr>
            <w:tcW w:w="1575" w:type="dxa"/>
            <w:shd w:val="clear" w:color="auto" w:fill="auto"/>
            <w:vAlign w:val="center"/>
          </w:tcPr>
          <w:p w14:paraId="7F6925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Sampling rate</w:t>
            </w:r>
          </w:p>
        </w:tc>
        <w:tc>
          <w:tcPr>
            <w:tcW w:w="5955" w:type="dxa"/>
            <w:gridSpan w:val="3"/>
            <w:shd w:val="clear" w:color="auto" w:fill="auto"/>
            <w:vAlign w:val="center"/>
          </w:tcPr>
          <w:p w14:paraId="7B6C3C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48KHz</w:t>
            </w:r>
          </w:p>
        </w:tc>
      </w:tr>
      <w:tr w14:paraId="3A5956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 w:hRule="atLeast"/>
          <w:tblCellSpacing w:w="0" w:type="dxa"/>
        </w:trPr>
        <w:tc>
          <w:tcPr>
            <w:tcW w:w="1695" w:type="dxa"/>
            <w:vMerge w:val="continue"/>
            <w:shd w:val="clear" w:color="auto" w:fill="auto"/>
            <w:vAlign w:val="center"/>
          </w:tcPr>
          <w:p w14:paraId="7F1CCCE7">
            <w:pPr>
              <w:jc w:val="left"/>
              <w:rPr>
                <w:rFonts w:hint="eastAsia" w:ascii="宋体"/>
                <w:sz w:val="24"/>
                <w:szCs w:val="24"/>
              </w:rPr>
            </w:pPr>
          </w:p>
        </w:tc>
        <w:tc>
          <w:tcPr>
            <w:tcW w:w="1575" w:type="dxa"/>
            <w:shd w:val="clear" w:color="auto" w:fill="auto"/>
            <w:vAlign w:val="center"/>
          </w:tcPr>
          <w:p w14:paraId="4DB1571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Bit-rate</w:t>
            </w:r>
          </w:p>
        </w:tc>
        <w:tc>
          <w:tcPr>
            <w:tcW w:w="5955" w:type="dxa"/>
            <w:gridSpan w:val="3"/>
            <w:shd w:val="clear" w:color="auto" w:fill="auto"/>
            <w:vAlign w:val="center"/>
          </w:tcPr>
          <w:p w14:paraId="6FB24C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64Kbps-320kbps each channel</w:t>
            </w:r>
          </w:p>
        </w:tc>
      </w:tr>
      <w:tr w14:paraId="6E5D5A8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585" w:hRule="atLeast"/>
          <w:tblCellSpacing w:w="0" w:type="dxa"/>
        </w:trPr>
        <w:tc>
          <w:tcPr>
            <w:tcW w:w="1695" w:type="dxa"/>
            <w:vMerge w:val="restart"/>
            <w:shd w:val="clear" w:color="auto" w:fill="auto"/>
            <w:vAlign w:val="center"/>
          </w:tcPr>
          <w:p w14:paraId="63A0F9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Multiplexing</w:t>
            </w:r>
          </w:p>
        </w:tc>
        <w:tc>
          <w:tcPr>
            <w:tcW w:w="1575" w:type="dxa"/>
            <w:shd w:val="clear" w:color="auto" w:fill="auto"/>
            <w:vAlign w:val="center"/>
          </w:tcPr>
          <w:p w14:paraId="2EBE29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Maximum PID</w:t>
            </w:r>
          </w:p>
          <w:p w14:paraId="429333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Remapping</w:t>
            </w:r>
          </w:p>
        </w:tc>
        <w:tc>
          <w:tcPr>
            <w:tcW w:w="5955" w:type="dxa"/>
            <w:gridSpan w:val="3"/>
            <w:shd w:val="clear" w:color="auto" w:fill="auto"/>
            <w:vAlign w:val="center"/>
          </w:tcPr>
          <w:p w14:paraId="0DB22A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180 input per channel</w:t>
            </w:r>
          </w:p>
        </w:tc>
      </w:tr>
      <w:tr w14:paraId="64380F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51" w:hRule="atLeast"/>
          <w:tblCellSpacing w:w="0" w:type="dxa"/>
        </w:trPr>
        <w:tc>
          <w:tcPr>
            <w:tcW w:w="1695" w:type="dxa"/>
            <w:vMerge w:val="continue"/>
            <w:shd w:val="clear" w:color="auto" w:fill="auto"/>
            <w:vAlign w:val="center"/>
          </w:tcPr>
          <w:p w14:paraId="4DF20A5E">
            <w:pPr>
              <w:jc w:val="left"/>
              <w:rPr>
                <w:rFonts w:hint="eastAsia" w:ascii="宋体"/>
                <w:sz w:val="24"/>
                <w:szCs w:val="24"/>
              </w:rPr>
            </w:pPr>
          </w:p>
        </w:tc>
        <w:tc>
          <w:tcPr>
            <w:tcW w:w="1575" w:type="dxa"/>
            <w:vMerge w:val="restart"/>
            <w:shd w:val="clear" w:color="auto" w:fill="auto"/>
            <w:vAlign w:val="center"/>
          </w:tcPr>
          <w:p w14:paraId="254112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w:t>
            </w:r>
          </w:p>
        </w:tc>
        <w:tc>
          <w:tcPr>
            <w:tcW w:w="5955" w:type="dxa"/>
            <w:gridSpan w:val="3"/>
            <w:shd w:val="clear" w:color="auto" w:fill="auto"/>
            <w:vAlign w:val="center"/>
          </w:tcPr>
          <w:p w14:paraId="187C76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 automatically or manually)</w:t>
            </w:r>
          </w:p>
        </w:tc>
      </w:tr>
      <w:tr w14:paraId="473728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36" w:hRule="atLeast"/>
          <w:tblCellSpacing w:w="0" w:type="dxa"/>
        </w:trPr>
        <w:tc>
          <w:tcPr>
            <w:tcW w:w="1695" w:type="dxa"/>
            <w:vMerge w:val="continue"/>
            <w:shd w:val="clear" w:color="auto" w:fill="auto"/>
            <w:vAlign w:val="center"/>
          </w:tcPr>
          <w:p w14:paraId="3CED8622">
            <w:pPr>
              <w:jc w:val="left"/>
              <w:rPr>
                <w:rFonts w:hint="eastAsia" w:ascii="宋体"/>
                <w:sz w:val="24"/>
                <w:szCs w:val="24"/>
              </w:rPr>
            </w:pPr>
          </w:p>
        </w:tc>
        <w:tc>
          <w:tcPr>
            <w:tcW w:w="1575" w:type="dxa"/>
            <w:vMerge w:val="continue"/>
            <w:shd w:val="clear" w:color="auto" w:fill="auto"/>
            <w:vAlign w:val="center"/>
          </w:tcPr>
          <w:p w14:paraId="53DDDCBE">
            <w:pPr>
              <w:jc w:val="left"/>
              <w:rPr>
                <w:rFonts w:hint="eastAsia" w:ascii="宋体"/>
                <w:sz w:val="24"/>
                <w:szCs w:val="24"/>
              </w:rPr>
            </w:pPr>
          </w:p>
        </w:tc>
        <w:tc>
          <w:tcPr>
            <w:tcW w:w="5955" w:type="dxa"/>
            <w:gridSpan w:val="3"/>
            <w:shd w:val="clear" w:color="auto" w:fill="auto"/>
            <w:vAlign w:val="center"/>
          </w:tcPr>
          <w:p w14:paraId="7D4DE8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Accurate PCR adjusting</w:t>
            </w:r>
          </w:p>
        </w:tc>
      </w:tr>
      <w:tr w14:paraId="20AF75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166" w:hRule="atLeast"/>
          <w:tblCellSpacing w:w="0" w:type="dxa"/>
        </w:trPr>
        <w:tc>
          <w:tcPr>
            <w:tcW w:w="1695" w:type="dxa"/>
            <w:vMerge w:val="continue"/>
            <w:shd w:val="clear" w:color="auto" w:fill="auto"/>
            <w:vAlign w:val="center"/>
          </w:tcPr>
          <w:p w14:paraId="08375147">
            <w:pPr>
              <w:jc w:val="left"/>
              <w:rPr>
                <w:rFonts w:hint="eastAsia" w:ascii="宋体"/>
                <w:sz w:val="24"/>
                <w:szCs w:val="24"/>
              </w:rPr>
            </w:pPr>
          </w:p>
        </w:tc>
        <w:tc>
          <w:tcPr>
            <w:tcW w:w="1575" w:type="dxa"/>
            <w:vMerge w:val="continue"/>
            <w:shd w:val="clear" w:color="auto" w:fill="auto"/>
            <w:vAlign w:val="center"/>
          </w:tcPr>
          <w:p w14:paraId="14D5BB58">
            <w:pPr>
              <w:jc w:val="left"/>
              <w:rPr>
                <w:rFonts w:hint="eastAsia" w:ascii="宋体"/>
                <w:sz w:val="24"/>
                <w:szCs w:val="24"/>
              </w:rPr>
            </w:pPr>
          </w:p>
        </w:tc>
        <w:tc>
          <w:tcPr>
            <w:tcW w:w="5955" w:type="dxa"/>
            <w:gridSpan w:val="3"/>
            <w:shd w:val="clear" w:color="auto" w:fill="auto"/>
            <w:vAlign w:val="center"/>
          </w:tcPr>
          <w:p w14:paraId="6C4736E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Generate PSI/ SI table automatically</w:t>
            </w:r>
          </w:p>
        </w:tc>
      </w:tr>
      <w:tr w14:paraId="4D9321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810" w:hRule="atLeast"/>
          <w:tblCellSpacing w:w="0" w:type="dxa"/>
        </w:trPr>
        <w:tc>
          <w:tcPr>
            <w:tcW w:w="1695" w:type="dxa"/>
            <w:shd w:val="clear" w:color="auto" w:fill="auto"/>
            <w:vAlign w:val="center"/>
          </w:tcPr>
          <w:p w14:paraId="01218F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Stream output</w:t>
            </w:r>
          </w:p>
        </w:tc>
        <w:tc>
          <w:tcPr>
            <w:tcW w:w="7515" w:type="dxa"/>
            <w:gridSpan w:val="4"/>
            <w:shd w:val="clear" w:color="auto" w:fill="auto"/>
            <w:vAlign w:val="center"/>
          </w:tcPr>
          <w:p w14:paraId="7B89679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MPTS and 12 SPTS IP output over UDP and RTP/RTSP, 2*1000M Base-T Ethernet interface, Data 1 and Data 2</w:t>
            </w:r>
          </w:p>
          <w:p w14:paraId="0A1B18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 ASI output as mirror of MPTS</w:t>
            </w:r>
            <w:r>
              <w:rPr>
                <w:color w:val="FF0000"/>
              </w:rPr>
              <w:t>-Optional</w:t>
            </w:r>
          </w:p>
        </w:tc>
      </w:tr>
      <w:tr w14:paraId="07892A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56" w:hRule="atLeast"/>
          <w:tblCellSpacing w:w="0" w:type="dxa"/>
        </w:trPr>
        <w:tc>
          <w:tcPr>
            <w:tcW w:w="1695" w:type="dxa"/>
            <w:vMerge w:val="restart"/>
            <w:shd w:val="clear" w:color="auto" w:fill="auto"/>
            <w:vAlign w:val="center"/>
          </w:tcPr>
          <w:p w14:paraId="78D7E7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System function</w:t>
            </w:r>
          </w:p>
        </w:tc>
        <w:tc>
          <w:tcPr>
            <w:tcW w:w="7515" w:type="dxa"/>
            <w:gridSpan w:val="4"/>
            <w:shd w:val="clear" w:color="auto" w:fill="auto"/>
            <w:vAlign w:val="center"/>
          </w:tcPr>
          <w:p w14:paraId="52CF81C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Network management (WEB)</w:t>
            </w:r>
          </w:p>
        </w:tc>
      </w:tr>
      <w:tr w14:paraId="5EB7A7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41" w:hRule="atLeast"/>
          <w:tblCellSpacing w:w="0" w:type="dxa"/>
        </w:trPr>
        <w:tc>
          <w:tcPr>
            <w:tcW w:w="1695" w:type="dxa"/>
            <w:vMerge w:val="continue"/>
            <w:shd w:val="clear" w:color="auto" w:fill="auto"/>
            <w:vAlign w:val="center"/>
          </w:tcPr>
          <w:p w14:paraId="3B43DC69">
            <w:pPr>
              <w:jc w:val="left"/>
              <w:rPr>
                <w:rFonts w:hint="eastAsia" w:ascii="宋体"/>
                <w:sz w:val="24"/>
                <w:szCs w:val="24"/>
              </w:rPr>
            </w:pPr>
          </w:p>
        </w:tc>
        <w:tc>
          <w:tcPr>
            <w:tcW w:w="7515" w:type="dxa"/>
            <w:gridSpan w:val="4"/>
            <w:shd w:val="clear" w:color="auto" w:fill="auto"/>
            <w:vAlign w:val="center"/>
          </w:tcPr>
          <w:p w14:paraId="6F877C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52E30C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16" w:hRule="atLeast"/>
          <w:tblCellSpacing w:w="0" w:type="dxa"/>
        </w:trPr>
        <w:tc>
          <w:tcPr>
            <w:tcW w:w="1695" w:type="dxa"/>
            <w:vMerge w:val="restart"/>
            <w:shd w:val="clear" w:color="auto" w:fill="auto"/>
            <w:vAlign w:val="center"/>
          </w:tcPr>
          <w:p w14:paraId="58D105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Pr>
              <w:t>Miscellaneous</w:t>
            </w:r>
          </w:p>
        </w:tc>
        <w:tc>
          <w:tcPr>
            <w:tcW w:w="2415" w:type="dxa"/>
            <w:gridSpan w:val="2"/>
            <w:shd w:val="clear" w:color="auto" w:fill="auto"/>
            <w:vAlign w:val="center"/>
          </w:tcPr>
          <w:p w14:paraId="635A16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 (W×L×H)</w:t>
            </w:r>
          </w:p>
        </w:tc>
        <w:tc>
          <w:tcPr>
            <w:tcW w:w="5100" w:type="dxa"/>
            <w:gridSpan w:val="2"/>
            <w:shd w:val="clear" w:color="auto" w:fill="auto"/>
            <w:vAlign w:val="center"/>
          </w:tcPr>
          <w:p w14:paraId="090A34F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482mm×440mm×44mm</w:t>
            </w:r>
          </w:p>
        </w:tc>
      </w:tr>
      <w:tr w14:paraId="758C06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7F7CA853">
            <w:pPr>
              <w:jc w:val="left"/>
              <w:rPr>
                <w:rFonts w:hint="eastAsia" w:ascii="宋体"/>
                <w:sz w:val="24"/>
                <w:szCs w:val="24"/>
              </w:rPr>
            </w:pPr>
          </w:p>
        </w:tc>
        <w:tc>
          <w:tcPr>
            <w:tcW w:w="2415" w:type="dxa"/>
            <w:gridSpan w:val="2"/>
            <w:shd w:val="clear" w:color="auto" w:fill="auto"/>
            <w:vAlign w:val="center"/>
          </w:tcPr>
          <w:p w14:paraId="2A1B81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w:t>
            </w:r>
          </w:p>
        </w:tc>
        <w:tc>
          <w:tcPr>
            <w:tcW w:w="5100" w:type="dxa"/>
            <w:gridSpan w:val="2"/>
            <w:shd w:val="clear" w:color="auto" w:fill="auto"/>
            <w:vAlign w:val="center"/>
          </w:tcPr>
          <w:p w14:paraId="2C018CD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0~45℃(work)；-20~80℃（Storage）</w:t>
            </w:r>
          </w:p>
        </w:tc>
      </w:tr>
      <w:tr w14:paraId="61AD4C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695" w:type="dxa"/>
            <w:vMerge w:val="continue"/>
            <w:shd w:val="clear" w:color="auto" w:fill="auto"/>
            <w:vAlign w:val="center"/>
          </w:tcPr>
          <w:p w14:paraId="1FEDD057">
            <w:pPr>
              <w:jc w:val="left"/>
              <w:rPr>
                <w:rFonts w:hint="eastAsia" w:ascii="宋体"/>
                <w:sz w:val="24"/>
                <w:szCs w:val="24"/>
              </w:rPr>
            </w:pPr>
          </w:p>
        </w:tc>
        <w:tc>
          <w:tcPr>
            <w:tcW w:w="2415" w:type="dxa"/>
            <w:gridSpan w:val="2"/>
            <w:shd w:val="clear" w:color="auto" w:fill="auto"/>
            <w:vAlign w:val="center"/>
          </w:tcPr>
          <w:p w14:paraId="457CCEE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w:t>
            </w:r>
          </w:p>
        </w:tc>
        <w:tc>
          <w:tcPr>
            <w:tcW w:w="5100" w:type="dxa"/>
            <w:gridSpan w:val="2"/>
            <w:shd w:val="clear" w:color="auto" w:fill="auto"/>
            <w:vAlign w:val="center"/>
          </w:tcPr>
          <w:p w14:paraId="46A94CF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 10%, 50/60Hz, AC 220 ± 10%, 50/60Hz</w:t>
            </w:r>
          </w:p>
        </w:tc>
      </w:tr>
    </w:tbl>
    <w:p w14:paraId="37A032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2CE9D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D7C4792">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46DFA938">
      <w:pPr>
        <w:rPr>
          <w:rFonts w:hint="default" w:ascii="Verdana" w:hAnsi="Verdana" w:cs="Verdana"/>
          <w:b w:val="0"/>
          <w:i w:val="0"/>
          <w:strike w:val="0"/>
          <w:color w:val="000000"/>
          <w:sz w:val="28"/>
          <w:lang w:val="en-US" w:eastAsia="zh-CN"/>
        </w:rPr>
      </w:pPr>
    </w:p>
    <w:p w14:paraId="5E8D4E46">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008A18BB">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090C855">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5259B422">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8370784"/>
    <w:rsid w:val="08BC4719"/>
    <w:rsid w:val="0A680B1B"/>
    <w:rsid w:val="0D5D1DF9"/>
    <w:rsid w:val="0E714EC9"/>
    <w:rsid w:val="0EAD28F8"/>
    <w:rsid w:val="0FC87CEA"/>
    <w:rsid w:val="101C4557"/>
    <w:rsid w:val="15C25510"/>
    <w:rsid w:val="18AE427D"/>
    <w:rsid w:val="18E81EA3"/>
    <w:rsid w:val="1B974A15"/>
    <w:rsid w:val="1BBD47CB"/>
    <w:rsid w:val="1CDC4CA0"/>
    <w:rsid w:val="1E391930"/>
    <w:rsid w:val="1FCC39C5"/>
    <w:rsid w:val="20F61905"/>
    <w:rsid w:val="2199682E"/>
    <w:rsid w:val="239E3C7B"/>
    <w:rsid w:val="27B55639"/>
    <w:rsid w:val="2A752F8B"/>
    <w:rsid w:val="2C665CEA"/>
    <w:rsid w:val="2E0F6BE8"/>
    <w:rsid w:val="314F3E41"/>
    <w:rsid w:val="3B533162"/>
    <w:rsid w:val="3F0B5FAA"/>
    <w:rsid w:val="43D43C3E"/>
    <w:rsid w:val="45872050"/>
    <w:rsid w:val="47566DB0"/>
    <w:rsid w:val="478E224E"/>
    <w:rsid w:val="485E04E5"/>
    <w:rsid w:val="487316FE"/>
    <w:rsid w:val="49B75FAC"/>
    <w:rsid w:val="4E4A4BF6"/>
    <w:rsid w:val="4F8D25ED"/>
    <w:rsid w:val="51AD130D"/>
    <w:rsid w:val="540A3FAB"/>
    <w:rsid w:val="562E484B"/>
    <w:rsid w:val="56834992"/>
    <w:rsid w:val="58A71294"/>
    <w:rsid w:val="5930748A"/>
    <w:rsid w:val="59933671"/>
    <w:rsid w:val="59AB27C4"/>
    <w:rsid w:val="5A976B08"/>
    <w:rsid w:val="5AA83521"/>
    <w:rsid w:val="5EEA5249"/>
    <w:rsid w:val="609213A6"/>
    <w:rsid w:val="61BA6334"/>
    <w:rsid w:val="63C27F07"/>
    <w:rsid w:val="65EB7404"/>
    <w:rsid w:val="68AD6386"/>
    <w:rsid w:val="6D7A6503"/>
    <w:rsid w:val="70757613"/>
    <w:rsid w:val="70B756B4"/>
    <w:rsid w:val="73270F88"/>
    <w:rsid w:val="74455F31"/>
    <w:rsid w:val="7540100C"/>
    <w:rsid w:val="77935A18"/>
    <w:rsid w:val="7B8E7427"/>
    <w:rsid w:val="7BF724C7"/>
    <w:rsid w:val="7D3D3C3D"/>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Encoder/NDS3544KD/3EEECN_2017112408583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175</Words>
  <Characters>1034</Characters>
  <Lines>4</Lines>
  <Paragraphs>1</Paragraphs>
  <TotalTime>27</TotalTime>
  <ScaleCrop>false</ScaleCrop>
  <LinksUpToDate>false</LinksUpToDate>
  <CharactersWithSpaces>1200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2025-08-20T02:14:39Z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