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137D0">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FMUSER FUQ-46610K TV Processor 6-Channel Analog-Digital Input DVB-C-T-ATSC-ISDB-T Output Web-Managed RF Headend</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System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828061643"/>
            <wp:cNvGraphicFramePr/>
            <a:graphic xmlns:a="http://schemas.openxmlformats.org/drawingml/2006/main">
              <a:graphicData uri="http://schemas.openxmlformats.org/drawingml/2006/picture">
                <pic:pic xmlns:pic="http://schemas.openxmlformats.org/drawingml/2006/picture">
                  <pic:nvPicPr>
                    <pic:cNvPr id="1" name="图片 1" descr="3EEECN_20180828061643"/>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333333"/>
          <w:szCs w:val="24"/>
          <w:shd w:val="clear" w:color="auto" w:fill="FEFCFD"/>
        </w:rPr>
        <w:t>Application Sample</w:t>
      </w:r>
    </w:p>
    <w:p w14:paraId="6E9C333A">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555875"/>
            <wp:effectExtent l="0" t="0" r="3810" b="158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555875"/>
                    </a:xfrm>
                    <a:prstGeom prst="rect">
                      <a:avLst/>
                    </a:prstGeom>
                    <a:noFill/>
                    <a:ln w="9525">
                      <a:noFill/>
                    </a:ln>
                  </pic:spPr>
                </pic:pic>
              </a:graphicData>
            </a:graphic>
          </wp:inline>
        </w:drawing>
      </w:r>
    </w:p>
    <w:p w14:paraId="10AC40EF">
      <w:pPr>
        <w:pStyle w:val="6"/>
        <w:widowControl/>
        <w:spacing w:beforeAutospacing="0" w:afterAutospacing="0" w:line="324" w:lineRule="atLeast"/>
      </w:pPr>
      <w:r>
        <w:rPr>
          <w:rFonts w:ascii="Verdana" w:hAnsi="Verdana" w:cs="Verdana"/>
          <w:color w:val="333333"/>
          <w:sz w:val="18"/>
          <w:szCs w:val="18"/>
          <w:shd w:val="clear" w:color="auto" w:fill="FEFCFD"/>
        </w:rPr>
        <w:t> </w:t>
      </w:r>
    </w:p>
    <w:p w14:paraId="2987AF2D">
      <w:pPr>
        <w:pStyle w:val="6"/>
        <w:widowControl/>
        <w:spacing w:beforeAutospacing="0" w:afterAutospacing="0" w:line="324" w:lineRule="atLeast"/>
        <w:rPr>
          <w:rStyle w:val="10"/>
          <w:rFonts w:hint="eastAsia" w:ascii="Verdana" w:hAnsi="Verdana" w:cs="Verdana"/>
          <w:color w:val="333333"/>
          <w:szCs w:val="24"/>
          <w:shd w:val="clear" w:color="auto" w:fill="FEFCFD"/>
          <w:lang w:eastAsia="zh-CN"/>
        </w:rPr>
      </w:pPr>
      <w:r>
        <w:rPr>
          <w:rStyle w:val="10"/>
          <w:rFonts w:hint="eastAsia" w:ascii="Verdana" w:hAnsi="Verdana" w:cs="Verdana"/>
          <w:color w:val="333333"/>
          <w:szCs w:val="24"/>
          <w:shd w:val="clear" w:color="auto" w:fill="FEFCFD"/>
          <w:lang w:eastAsia="zh-CN"/>
        </w:rPr>
        <w:t>Product overview</w:t>
      </w:r>
    </w:p>
    <w:p w14:paraId="4E19641A">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FUQ-46610K processes 6 channels of analog/digital signals via 470-860MHz RF input and delivers 48-960MHz RF output. It converts between DVB-C/T, ATSC, and ISDB-T standards with configurable 6M/8M bandwidth. This 1RU rack-mount unit features WEB-based management for remote control and firmware updates. Ideal for cable headend modernization and multi-standard broadcast systems requiring flexible signal conversion.</w:t>
      </w:r>
      <w:r>
        <w:rPr>
          <w:rFonts w:ascii="Verdana" w:hAnsi="Verdana" w:cs="Verdana"/>
          <w:color w:val="333333"/>
          <w:sz w:val="18"/>
          <w:szCs w:val="18"/>
          <w:shd w:val="clear" w:color="auto" w:fill="FEFCFD"/>
        </w:rPr>
        <w:t> </w:t>
      </w:r>
    </w:p>
    <w:p w14:paraId="49CA5001">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Cs w:val="24"/>
          <w:shd w:val="clear" w:color="auto" w:fill="FEFCFD"/>
          <w:lang w:eastAsia="zh-CN"/>
        </w:rPr>
        <w:t>Key feature</w:t>
      </w:r>
    </w:p>
    <w:p w14:paraId="7A06DE9E">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Web interface for remote management and system upgrades</w:t>
      </w:r>
    </w:p>
    <w:p w14:paraId="07B26F17">
      <w:pPr>
        <w:pStyle w:val="6"/>
        <w:widowControl/>
        <w:spacing w:beforeAutospacing="0" w:afterAutospacing="0" w:line="324" w:lineRule="atLeast"/>
      </w:pPr>
      <w:r>
        <w:rPr>
          <w:rStyle w:val="10"/>
          <w:rFonts w:ascii="Verdana" w:hAnsi="Verdana" w:cs="Verdana"/>
          <w:color w:val="333333"/>
          <w:szCs w:val="24"/>
          <w:shd w:val="clear" w:color="auto" w:fill="FEFCFD"/>
        </w:rPr>
        <w:t>Technical Specifications</w:t>
      </w:r>
    </w:p>
    <w:p w14:paraId="0332F234">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24"/>
        <w:gridCol w:w="2759"/>
        <w:gridCol w:w="752"/>
        <w:gridCol w:w="5115"/>
      </w:tblGrid>
      <w:tr w14:paraId="016439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140" w:type="dxa"/>
            <w:vMerge w:val="restart"/>
            <w:shd w:val="clear" w:color="auto" w:fill="auto"/>
            <w:vAlign w:val="center"/>
          </w:tcPr>
          <w:p w14:paraId="45351711">
            <w:pPr>
              <w:pStyle w:val="6"/>
              <w:widowControl/>
              <w:spacing w:beforeAutospacing="0" w:afterAutospacing="0" w:line="324" w:lineRule="atLeast"/>
            </w:pPr>
            <w:r>
              <w:rPr>
                <w:rStyle w:val="10"/>
              </w:rPr>
              <w:t>Input</w:t>
            </w:r>
          </w:p>
        </w:tc>
        <w:tc>
          <w:tcPr>
            <w:tcW w:w="9015" w:type="dxa"/>
            <w:gridSpan w:val="3"/>
            <w:shd w:val="clear" w:color="auto" w:fill="auto"/>
            <w:vAlign w:val="center"/>
          </w:tcPr>
          <w:p w14:paraId="231216D1">
            <w:pPr>
              <w:pStyle w:val="6"/>
              <w:widowControl/>
              <w:spacing w:beforeAutospacing="0" w:afterAutospacing="0" w:line="324" w:lineRule="atLeast"/>
            </w:pPr>
            <w:r>
              <w:t>1*RF IN with up to 6 frequencies</w:t>
            </w:r>
          </w:p>
        </w:tc>
      </w:tr>
      <w:tr w14:paraId="7FE1A7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140" w:type="dxa"/>
            <w:vMerge w:val="continue"/>
            <w:shd w:val="clear" w:color="auto" w:fill="auto"/>
            <w:vAlign w:val="center"/>
          </w:tcPr>
          <w:p w14:paraId="4081A0AE">
            <w:pPr>
              <w:jc w:val="left"/>
              <w:rPr>
                <w:rFonts w:ascii="宋体"/>
                <w:sz w:val="24"/>
                <w:szCs w:val="24"/>
              </w:rPr>
            </w:pPr>
          </w:p>
        </w:tc>
        <w:tc>
          <w:tcPr>
            <w:tcW w:w="9015" w:type="dxa"/>
            <w:gridSpan w:val="3"/>
            <w:shd w:val="clear" w:color="auto" w:fill="auto"/>
            <w:vAlign w:val="center"/>
          </w:tcPr>
          <w:p w14:paraId="1D45B90C">
            <w:pPr>
              <w:pStyle w:val="6"/>
              <w:widowControl/>
              <w:spacing w:beforeAutospacing="0" w:afterAutospacing="0" w:line="324" w:lineRule="atLeast"/>
            </w:pPr>
            <w:r>
              <w:t>RF range: 470-860MHz, 80M bandwidth for start-end channel</w:t>
            </w:r>
          </w:p>
        </w:tc>
      </w:tr>
      <w:tr w14:paraId="6BE5FA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restart"/>
            <w:shd w:val="clear" w:color="auto" w:fill="auto"/>
            <w:vAlign w:val="center"/>
          </w:tcPr>
          <w:p w14:paraId="4DB590EF">
            <w:pPr>
              <w:pStyle w:val="6"/>
              <w:widowControl/>
              <w:spacing w:beforeAutospacing="0" w:afterAutospacing="0" w:line="324" w:lineRule="atLeast"/>
            </w:pPr>
            <w:r>
              <w:rPr>
                <w:rStyle w:val="10"/>
              </w:rPr>
              <w:t>Output</w:t>
            </w:r>
          </w:p>
        </w:tc>
        <w:tc>
          <w:tcPr>
            <w:tcW w:w="9015" w:type="dxa"/>
            <w:gridSpan w:val="3"/>
            <w:shd w:val="clear" w:color="auto" w:fill="auto"/>
            <w:vAlign w:val="center"/>
          </w:tcPr>
          <w:p w14:paraId="2F40DA09">
            <w:pPr>
              <w:pStyle w:val="6"/>
              <w:widowControl/>
              <w:spacing w:beforeAutospacing="0" w:afterAutospacing="0" w:line="324" w:lineRule="atLeast"/>
            </w:pPr>
            <w:r>
              <w:t>1*RF OUT with up to 6 frequencies - N Type, 50Ω</w:t>
            </w:r>
          </w:p>
          <w:p w14:paraId="04E8FFE2">
            <w:pPr>
              <w:pStyle w:val="6"/>
              <w:widowControl/>
              <w:spacing w:beforeAutospacing="0" w:afterAutospacing="0" w:line="324" w:lineRule="atLeast"/>
            </w:pPr>
            <w:r>
              <w:t>1* RF TEST - F Type</w:t>
            </w:r>
          </w:p>
        </w:tc>
      </w:tr>
      <w:tr w14:paraId="298E18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continue"/>
            <w:shd w:val="clear" w:color="auto" w:fill="auto"/>
            <w:vAlign w:val="center"/>
          </w:tcPr>
          <w:p w14:paraId="38847D02">
            <w:pPr>
              <w:jc w:val="left"/>
              <w:rPr>
                <w:rFonts w:ascii="宋体"/>
                <w:sz w:val="24"/>
                <w:szCs w:val="24"/>
              </w:rPr>
            </w:pPr>
          </w:p>
        </w:tc>
        <w:tc>
          <w:tcPr>
            <w:tcW w:w="2880" w:type="dxa"/>
            <w:shd w:val="clear" w:color="auto" w:fill="auto"/>
            <w:vAlign w:val="center"/>
          </w:tcPr>
          <w:p w14:paraId="07ADED97">
            <w:pPr>
              <w:pStyle w:val="6"/>
              <w:widowControl/>
              <w:spacing w:beforeAutospacing="0" w:afterAutospacing="0" w:line="324" w:lineRule="atLeast"/>
            </w:pPr>
            <w:r>
              <w:t>RF range</w:t>
            </w:r>
          </w:p>
        </w:tc>
        <w:tc>
          <w:tcPr>
            <w:tcW w:w="6135" w:type="dxa"/>
            <w:gridSpan w:val="2"/>
            <w:shd w:val="clear" w:color="auto" w:fill="auto"/>
            <w:vAlign w:val="center"/>
          </w:tcPr>
          <w:p w14:paraId="7378ADDA">
            <w:pPr>
              <w:pStyle w:val="6"/>
              <w:widowControl/>
              <w:spacing w:beforeAutospacing="0" w:afterAutospacing="0" w:line="324" w:lineRule="atLeast"/>
            </w:pPr>
            <w:r>
              <w:t>48~960MHz, 1KHz step, 110M bandwidth for start-end channel</w:t>
            </w:r>
          </w:p>
        </w:tc>
      </w:tr>
      <w:tr w14:paraId="2CC567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140" w:type="dxa"/>
            <w:vMerge w:val="continue"/>
            <w:shd w:val="clear" w:color="auto" w:fill="auto"/>
            <w:vAlign w:val="center"/>
          </w:tcPr>
          <w:p w14:paraId="20955B97">
            <w:pPr>
              <w:jc w:val="left"/>
              <w:rPr>
                <w:rFonts w:ascii="宋体"/>
                <w:sz w:val="24"/>
                <w:szCs w:val="24"/>
              </w:rPr>
            </w:pPr>
          </w:p>
        </w:tc>
        <w:tc>
          <w:tcPr>
            <w:tcW w:w="2880" w:type="dxa"/>
            <w:shd w:val="clear" w:color="auto" w:fill="auto"/>
            <w:vAlign w:val="center"/>
          </w:tcPr>
          <w:p w14:paraId="059BDD2C">
            <w:pPr>
              <w:pStyle w:val="6"/>
              <w:widowControl/>
              <w:spacing w:beforeAutospacing="0" w:afterAutospacing="0" w:line="324" w:lineRule="atLeast"/>
            </w:pPr>
            <w:r>
              <w:t>RF ATT</w:t>
            </w:r>
          </w:p>
        </w:tc>
        <w:tc>
          <w:tcPr>
            <w:tcW w:w="6135" w:type="dxa"/>
            <w:gridSpan w:val="2"/>
            <w:shd w:val="clear" w:color="auto" w:fill="auto"/>
            <w:vAlign w:val="center"/>
          </w:tcPr>
          <w:p w14:paraId="1E2AD7E0">
            <w:pPr>
              <w:pStyle w:val="6"/>
              <w:widowControl/>
              <w:spacing w:beforeAutospacing="0" w:afterAutospacing="0" w:line="324" w:lineRule="atLeast"/>
            </w:pPr>
            <w:r>
              <w:t>-25~-2 dBm, 0.5dBm step</w:t>
            </w:r>
          </w:p>
        </w:tc>
      </w:tr>
      <w:tr w14:paraId="262D80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140" w:type="dxa"/>
            <w:vMerge w:val="continue"/>
            <w:shd w:val="clear" w:color="auto" w:fill="auto"/>
            <w:vAlign w:val="center"/>
          </w:tcPr>
          <w:p w14:paraId="1F8B151B">
            <w:pPr>
              <w:jc w:val="left"/>
              <w:rPr>
                <w:rFonts w:ascii="宋体"/>
                <w:sz w:val="24"/>
                <w:szCs w:val="24"/>
              </w:rPr>
            </w:pPr>
          </w:p>
        </w:tc>
        <w:tc>
          <w:tcPr>
            <w:tcW w:w="2880" w:type="dxa"/>
            <w:shd w:val="clear" w:color="auto" w:fill="auto"/>
            <w:vAlign w:val="center"/>
          </w:tcPr>
          <w:p w14:paraId="002BCF99">
            <w:pPr>
              <w:pStyle w:val="6"/>
              <w:widowControl/>
              <w:spacing w:beforeAutospacing="0" w:afterAutospacing="0" w:line="324" w:lineRule="atLeast"/>
            </w:pPr>
            <w:r>
              <w:t>Shoulder level</w:t>
            </w:r>
          </w:p>
        </w:tc>
        <w:tc>
          <w:tcPr>
            <w:tcW w:w="6135" w:type="dxa"/>
            <w:gridSpan w:val="2"/>
            <w:shd w:val="clear" w:color="auto" w:fill="auto"/>
            <w:vAlign w:val="center"/>
          </w:tcPr>
          <w:p w14:paraId="4A1C656E">
            <w:pPr>
              <w:pStyle w:val="6"/>
              <w:widowControl/>
              <w:spacing w:beforeAutospacing="0" w:afterAutospacing="0" w:line="324" w:lineRule="atLeast"/>
            </w:pPr>
            <w:r>
              <w:t>≥57dB (for single channel), ≥54dB (for 6 channels)</w:t>
            </w:r>
          </w:p>
        </w:tc>
      </w:tr>
      <w:tr w14:paraId="0BABAE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140" w:type="dxa"/>
            <w:vMerge w:val="continue"/>
            <w:shd w:val="clear" w:color="auto" w:fill="auto"/>
            <w:vAlign w:val="center"/>
          </w:tcPr>
          <w:p w14:paraId="03E75C16">
            <w:pPr>
              <w:jc w:val="left"/>
              <w:rPr>
                <w:rFonts w:ascii="宋体"/>
                <w:sz w:val="24"/>
                <w:szCs w:val="24"/>
              </w:rPr>
            </w:pPr>
          </w:p>
        </w:tc>
        <w:tc>
          <w:tcPr>
            <w:tcW w:w="2880" w:type="dxa"/>
            <w:shd w:val="clear" w:color="auto" w:fill="auto"/>
            <w:vAlign w:val="center"/>
          </w:tcPr>
          <w:p w14:paraId="4FE5BE7F">
            <w:pPr>
              <w:pStyle w:val="6"/>
              <w:widowControl/>
              <w:spacing w:beforeAutospacing="0" w:afterAutospacing="0" w:line="324" w:lineRule="atLeast"/>
            </w:pPr>
            <w:r>
              <w:t>Image rejection</w:t>
            </w:r>
          </w:p>
        </w:tc>
        <w:tc>
          <w:tcPr>
            <w:tcW w:w="6135" w:type="dxa"/>
            <w:gridSpan w:val="2"/>
            <w:shd w:val="clear" w:color="auto" w:fill="auto"/>
            <w:vAlign w:val="center"/>
          </w:tcPr>
          <w:p w14:paraId="2143C782">
            <w:pPr>
              <w:pStyle w:val="6"/>
              <w:widowControl/>
              <w:spacing w:beforeAutospacing="0" w:afterAutospacing="0" w:line="324" w:lineRule="atLeast"/>
            </w:pPr>
            <w:r>
              <w:t>&gt;70dB</w:t>
            </w:r>
          </w:p>
        </w:tc>
      </w:tr>
      <w:tr w14:paraId="6E39A3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140" w:type="dxa"/>
            <w:vMerge w:val="continue"/>
            <w:shd w:val="clear" w:color="auto" w:fill="auto"/>
            <w:vAlign w:val="center"/>
          </w:tcPr>
          <w:p w14:paraId="356D041E">
            <w:pPr>
              <w:jc w:val="left"/>
              <w:rPr>
                <w:rFonts w:ascii="宋体"/>
                <w:sz w:val="24"/>
                <w:szCs w:val="24"/>
              </w:rPr>
            </w:pPr>
          </w:p>
        </w:tc>
        <w:tc>
          <w:tcPr>
            <w:tcW w:w="2880" w:type="dxa"/>
            <w:shd w:val="clear" w:color="auto" w:fill="auto"/>
            <w:vAlign w:val="center"/>
          </w:tcPr>
          <w:p w14:paraId="52CC0DDC">
            <w:pPr>
              <w:pStyle w:val="6"/>
              <w:widowControl/>
              <w:spacing w:beforeAutospacing="0" w:afterAutospacing="0" w:line="324" w:lineRule="atLeast"/>
            </w:pPr>
            <w:r>
              <w:t>Spurious in band</w:t>
            </w:r>
          </w:p>
        </w:tc>
        <w:tc>
          <w:tcPr>
            <w:tcW w:w="6135" w:type="dxa"/>
            <w:gridSpan w:val="2"/>
            <w:shd w:val="clear" w:color="auto" w:fill="auto"/>
            <w:vAlign w:val="center"/>
          </w:tcPr>
          <w:p w14:paraId="1B970CF7">
            <w:pPr>
              <w:pStyle w:val="6"/>
              <w:widowControl/>
              <w:spacing w:beforeAutospacing="0" w:afterAutospacing="0" w:line="324" w:lineRule="atLeast"/>
            </w:pPr>
            <w:r>
              <w:t>&lt;-55dBc</w:t>
            </w:r>
          </w:p>
        </w:tc>
      </w:tr>
      <w:tr w14:paraId="409BB2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140" w:type="dxa"/>
            <w:shd w:val="clear" w:color="auto" w:fill="auto"/>
            <w:vAlign w:val="center"/>
          </w:tcPr>
          <w:p w14:paraId="1392FFEC">
            <w:pPr>
              <w:pStyle w:val="6"/>
              <w:widowControl/>
              <w:spacing w:beforeAutospacing="0" w:afterAutospacing="0" w:line="324" w:lineRule="atLeast"/>
            </w:pPr>
            <w:r>
              <w:rPr>
                <w:rStyle w:val="10"/>
              </w:rPr>
              <w:t>Standard</w:t>
            </w:r>
          </w:p>
        </w:tc>
        <w:tc>
          <w:tcPr>
            <w:tcW w:w="9015" w:type="dxa"/>
            <w:gridSpan w:val="3"/>
            <w:shd w:val="clear" w:color="auto" w:fill="auto"/>
            <w:vAlign w:val="center"/>
          </w:tcPr>
          <w:p w14:paraId="5E347254">
            <w:pPr>
              <w:pStyle w:val="6"/>
              <w:widowControl/>
              <w:spacing w:beforeAutospacing="0" w:afterAutospacing="0" w:line="324" w:lineRule="atLeast"/>
            </w:pPr>
            <w:r>
              <w:t>6M/8M channel bandwidth, DVB-C/T, ATSC, ISDB-T, PAL, NTSC, etc</w:t>
            </w:r>
          </w:p>
        </w:tc>
      </w:tr>
      <w:tr w14:paraId="3E98A7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restart"/>
            <w:shd w:val="clear" w:color="auto" w:fill="auto"/>
            <w:vAlign w:val="center"/>
          </w:tcPr>
          <w:p w14:paraId="1CC5C265">
            <w:pPr>
              <w:pStyle w:val="6"/>
              <w:widowControl/>
              <w:spacing w:beforeAutospacing="0" w:afterAutospacing="0" w:line="324" w:lineRule="atLeast"/>
            </w:pPr>
            <w:r>
              <w:rPr>
                <w:rStyle w:val="10"/>
              </w:rPr>
              <w:t>System</w:t>
            </w:r>
          </w:p>
        </w:tc>
        <w:tc>
          <w:tcPr>
            <w:tcW w:w="9015" w:type="dxa"/>
            <w:gridSpan w:val="3"/>
            <w:shd w:val="clear" w:color="auto" w:fill="auto"/>
            <w:vAlign w:val="center"/>
          </w:tcPr>
          <w:p w14:paraId="2D87E76B">
            <w:pPr>
              <w:pStyle w:val="6"/>
              <w:widowControl/>
              <w:spacing w:beforeAutospacing="0" w:afterAutospacing="0" w:line="324" w:lineRule="atLeast"/>
            </w:pPr>
            <w:r>
              <w:t>WEB-server manage</w:t>
            </w:r>
          </w:p>
        </w:tc>
      </w:tr>
      <w:tr w14:paraId="129439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continue"/>
            <w:shd w:val="clear" w:color="auto" w:fill="auto"/>
            <w:vAlign w:val="center"/>
          </w:tcPr>
          <w:p w14:paraId="20C848DC">
            <w:pPr>
              <w:jc w:val="left"/>
              <w:rPr>
                <w:rFonts w:ascii="宋体"/>
                <w:sz w:val="24"/>
                <w:szCs w:val="24"/>
              </w:rPr>
            </w:pPr>
          </w:p>
        </w:tc>
        <w:tc>
          <w:tcPr>
            <w:tcW w:w="9015" w:type="dxa"/>
            <w:gridSpan w:val="3"/>
            <w:shd w:val="clear" w:color="auto" w:fill="auto"/>
            <w:vAlign w:val="center"/>
          </w:tcPr>
          <w:p w14:paraId="5362BF0B">
            <w:pPr>
              <w:pStyle w:val="6"/>
              <w:widowControl/>
              <w:spacing w:beforeAutospacing="0" w:afterAutospacing="0" w:line="324" w:lineRule="atLeast"/>
            </w:pPr>
            <w:r>
              <w:t>WEB system upgrade</w:t>
            </w:r>
          </w:p>
        </w:tc>
      </w:tr>
      <w:tr w14:paraId="3D7D25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restart"/>
            <w:shd w:val="clear" w:color="auto" w:fill="auto"/>
            <w:vAlign w:val="center"/>
          </w:tcPr>
          <w:p w14:paraId="45C58105">
            <w:pPr>
              <w:pStyle w:val="6"/>
              <w:widowControl/>
              <w:spacing w:beforeAutospacing="0" w:afterAutospacing="0" w:line="324" w:lineRule="atLeast"/>
            </w:pPr>
            <w:r>
              <w:rPr>
                <w:rStyle w:val="10"/>
              </w:rPr>
              <w:t>General</w:t>
            </w:r>
          </w:p>
        </w:tc>
        <w:tc>
          <w:tcPr>
            <w:tcW w:w="3690" w:type="dxa"/>
            <w:gridSpan w:val="2"/>
            <w:shd w:val="clear" w:color="auto" w:fill="auto"/>
            <w:vAlign w:val="center"/>
          </w:tcPr>
          <w:p w14:paraId="507957F2">
            <w:pPr>
              <w:pStyle w:val="6"/>
              <w:widowControl/>
              <w:spacing w:beforeAutospacing="0" w:afterAutospacing="0" w:line="324" w:lineRule="atLeast"/>
            </w:pPr>
            <w:r>
              <w:t>Dimensions (W*L*H)</w:t>
            </w:r>
          </w:p>
        </w:tc>
        <w:tc>
          <w:tcPr>
            <w:tcW w:w="5340" w:type="dxa"/>
            <w:shd w:val="clear" w:color="auto" w:fill="auto"/>
            <w:vAlign w:val="center"/>
          </w:tcPr>
          <w:p w14:paraId="6B57104C">
            <w:pPr>
              <w:pStyle w:val="6"/>
              <w:widowControl/>
              <w:spacing w:beforeAutospacing="0" w:afterAutospacing="0" w:line="324" w:lineRule="atLeast"/>
            </w:pPr>
            <w:r>
              <w:t>482mm×410mm×44mm</w:t>
            </w:r>
          </w:p>
        </w:tc>
      </w:tr>
      <w:tr w14:paraId="66C1FE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continue"/>
            <w:shd w:val="clear" w:color="auto" w:fill="auto"/>
            <w:vAlign w:val="center"/>
          </w:tcPr>
          <w:p w14:paraId="0CC1C401">
            <w:pPr>
              <w:jc w:val="left"/>
              <w:rPr>
                <w:rFonts w:ascii="宋体"/>
                <w:sz w:val="24"/>
                <w:szCs w:val="24"/>
              </w:rPr>
            </w:pPr>
          </w:p>
        </w:tc>
        <w:tc>
          <w:tcPr>
            <w:tcW w:w="3690" w:type="dxa"/>
            <w:gridSpan w:val="2"/>
            <w:shd w:val="clear" w:color="auto" w:fill="auto"/>
            <w:vAlign w:val="center"/>
          </w:tcPr>
          <w:p w14:paraId="58A2A1D1">
            <w:pPr>
              <w:pStyle w:val="6"/>
              <w:widowControl/>
              <w:spacing w:beforeAutospacing="0" w:afterAutospacing="0" w:line="324" w:lineRule="atLeast"/>
            </w:pPr>
            <w:r>
              <w:t>Weight</w:t>
            </w:r>
          </w:p>
        </w:tc>
        <w:tc>
          <w:tcPr>
            <w:tcW w:w="5340" w:type="dxa"/>
            <w:shd w:val="clear" w:color="auto" w:fill="auto"/>
            <w:vAlign w:val="center"/>
          </w:tcPr>
          <w:p w14:paraId="04C45F2E">
            <w:pPr>
              <w:pStyle w:val="6"/>
              <w:widowControl/>
              <w:spacing w:beforeAutospacing="0" w:afterAutospacing="0" w:line="324" w:lineRule="atLeast"/>
            </w:pPr>
            <w:r>
              <w:t>4 kg</w:t>
            </w:r>
          </w:p>
        </w:tc>
      </w:tr>
      <w:tr w14:paraId="64A100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continue"/>
            <w:shd w:val="clear" w:color="auto" w:fill="auto"/>
            <w:vAlign w:val="center"/>
          </w:tcPr>
          <w:p w14:paraId="75169C74">
            <w:pPr>
              <w:jc w:val="left"/>
              <w:rPr>
                <w:rFonts w:ascii="宋体"/>
                <w:sz w:val="24"/>
                <w:szCs w:val="24"/>
              </w:rPr>
            </w:pPr>
          </w:p>
        </w:tc>
        <w:tc>
          <w:tcPr>
            <w:tcW w:w="3690" w:type="dxa"/>
            <w:gridSpan w:val="2"/>
            <w:shd w:val="clear" w:color="auto" w:fill="auto"/>
            <w:vAlign w:val="center"/>
          </w:tcPr>
          <w:p w14:paraId="040116B4">
            <w:pPr>
              <w:pStyle w:val="6"/>
              <w:widowControl/>
              <w:spacing w:beforeAutospacing="0" w:afterAutospacing="0" w:line="324" w:lineRule="atLeast"/>
            </w:pPr>
            <w:r>
              <w:t>Temperature</w:t>
            </w:r>
          </w:p>
        </w:tc>
        <w:tc>
          <w:tcPr>
            <w:tcW w:w="5340" w:type="dxa"/>
            <w:shd w:val="clear" w:color="auto" w:fill="auto"/>
            <w:vAlign w:val="center"/>
          </w:tcPr>
          <w:p w14:paraId="056EDC4E">
            <w:pPr>
              <w:pStyle w:val="6"/>
              <w:widowControl/>
              <w:spacing w:beforeAutospacing="0" w:afterAutospacing="0" w:line="324" w:lineRule="atLeast"/>
            </w:pPr>
            <w:r>
              <w:t>0~45℃(Running), -20~80℃(Storage)</w:t>
            </w:r>
          </w:p>
        </w:tc>
      </w:tr>
      <w:tr w14:paraId="1B9440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0" w:type="dxa"/>
            <w:vMerge w:val="continue"/>
            <w:shd w:val="clear" w:color="auto" w:fill="auto"/>
            <w:vAlign w:val="center"/>
          </w:tcPr>
          <w:p w14:paraId="64AB7450">
            <w:pPr>
              <w:jc w:val="left"/>
              <w:rPr>
                <w:rFonts w:ascii="宋体"/>
                <w:sz w:val="24"/>
                <w:szCs w:val="24"/>
              </w:rPr>
            </w:pPr>
          </w:p>
        </w:tc>
        <w:tc>
          <w:tcPr>
            <w:tcW w:w="3690" w:type="dxa"/>
            <w:gridSpan w:val="2"/>
            <w:shd w:val="clear" w:color="auto" w:fill="auto"/>
            <w:vAlign w:val="center"/>
          </w:tcPr>
          <w:p w14:paraId="15861DF7">
            <w:pPr>
              <w:pStyle w:val="6"/>
              <w:widowControl/>
              <w:spacing w:beforeAutospacing="0" w:afterAutospacing="0" w:line="324" w:lineRule="atLeast"/>
            </w:pPr>
            <w:r>
              <w:t>Power Supply</w:t>
            </w:r>
          </w:p>
        </w:tc>
        <w:tc>
          <w:tcPr>
            <w:tcW w:w="5340" w:type="dxa"/>
            <w:shd w:val="clear" w:color="auto" w:fill="auto"/>
            <w:vAlign w:val="center"/>
          </w:tcPr>
          <w:p w14:paraId="40DE1D2A">
            <w:pPr>
              <w:pStyle w:val="6"/>
              <w:widowControl/>
              <w:spacing w:beforeAutospacing="0" w:afterAutospacing="0" w:line="324" w:lineRule="atLeast"/>
            </w:pPr>
            <w:r>
              <w:t>AC 220V±10%,50/60Hz</w:t>
            </w:r>
          </w:p>
        </w:tc>
      </w:tr>
      <w:tr w14:paraId="4A73B7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1140" w:type="dxa"/>
            <w:vMerge w:val="continue"/>
            <w:shd w:val="clear" w:color="auto" w:fill="auto"/>
            <w:vAlign w:val="center"/>
          </w:tcPr>
          <w:p w14:paraId="03CB9652">
            <w:pPr>
              <w:jc w:val="left"/>
              <w:rPr>
                <w:rFonts w:ascii="宋体"/>
                <w:sz w:val="24"/>
                <w:szCs w:val="24"/>
              </w:rPr>
            </w:pPr>
          </w:p>
        </w:tc>
        <w:tc>
          <w:tcPr>
            <w:tcW w:w="3690" w:type="dxa"/>
            <w:gridSpan w:val="2"/>
            <w:shd w:val="clear" w:color="auto" w:fill="auto"/>
            <w:vAlign w:val="center"/>
          </w:tcPr>
          <w:p w14:paraId="3768D5AB">
            <w:pPr>
              <w:pStyle w:val="6"/>
              <w:widowControl/>
              <w:spacing w:beforeAutospacing="0" w:afterAutospacing="0" w:line="324" w:lineRule="atLeast"/>
            </w:pPr>
            <w:r>
              <w:t>Consumption</w:t>
            </w:r>
          </w:p>
        </w:tc>
        <w:tc>
          <w:tcPr>
            <w:tcW w:w="5340" w:type="dxa"/>
            <w:shd w:val="clear" w:color="auto" w:fill="auto"/>
            <w:vAlign w:val="center"/>
          </w:tcPr>
          <w:p w14:paraId="6DCB4757">
            <w:pPr>
              <w:pStyle w:val="6"/>
              <w:widowControl/>
              <w:spacing w:beforeAutospacing="0" w:afterAutospacing="0" w:line="324" w:lineRule="atLeast"/>
            </w:pPr>
            <w:r>
              <w:t>27W</w:t>
            </w:r>
          </w:p>
        </w:tc>
      </w:tr>
    </w:tbl>
    <w:p w14:paraId="5B81A1CB">
      <w:pPr>
        <w:pStyle w:val="6"/>
        <w:widowControl/>
        <w:spacing w:beforeAutospacing="0" w:afterAutospacing="0" w:line="324" w:lineRule="atLeast"/>
      </w:pPr>
      <w:r>
        <w:rPr>
          <w:rFonts w:ascii="Verdana" w:hAnsi="Verdana" w:cs="Verdana"/>
          <w:color w:val="333333"/>
          <w:sz w:val="18"/>
          <w:szCs w:val="18"/>
          <w:shd w:val="clear" w:color="auto" w:fill="FEFCFD"/>
        </w:rPr>
        <w:t> </w:t>
      </w:r>
    </w:p>
    <w:p w14:paraId="18CD3080">
      <w:pPr>
        <w:pStyle w:val="6"/>
        <w:widowControl/>
        <w:spacing w:beforeAutospacing="0" w:afterAutospacing="0" w:line="324" w:lineRule="atLeast"/>
      </w:pPr>
      <w:r>
        <w:rPr>
          <w:rStyle w:val="10"/>
          <w:rFonts w:ascii="Verdana" w:hAnsi="Verdana" w:cs="Verdana"/>
          <w:color w:val="333333"/>
          <w:szCs w:val="24"/>
          <w:shd w:val="clear" w:color="auto" w:fill="FEFCFD"/>
        </w:rPr>
        <w:t>Performance Reference</w:t>
      </w:r>
    </w:p>
    <w:p w14:paraId="5EC26B7E">
      <w:pPr>
        <w:pStyle w:val="6"/>
        <w:widowControl/>
        <w:spacing w:beforeAutospacing="0" w:afterAutospacing="0" w:line="324" w:lineRule="atLeast"/>
      </w:pPr>
      <w:r>
        <w:rPr>
          <w:rFonts w:ascii="Verdana" w:hAnsi="Verdana" w:cs="Verdana"/>
          <w:color w:val="333333"/>
          <w:sz w:val="18"/>
          <w:szCs w:val="18"/>
          <w:shd w:val="clear" w:color="auto" w:fill="FEFCFD"/>
        </w:rPr>
        <w:t> </w:t>
      </w:r>
    </w:p>
    <w:p w14:paraId="594C4CC4">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79820" cy="8149590"/>
            <wp:effectExtent l="0" t="0" r="11430" b="381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79820" cy="8149590"/>
                    </a:xfrm>
                    <a:prstGeom prst="rect">
                      <a:avLst/>
                    </a:prstGeom>
                    <a:noFill/>
                    <a:ln w="9525">
                      <a:noFill/>
                    </a:ln>
                  </pic:spPr>
                </pic:pic>
              </a:graphicData>
            </a:graphic>
          </wp:inline>
        </w:drawing>
      </w:r>
    </w:p>
    <w:p w14:paraId="2F1CF10C">
      <w:pPr>
        <w:pStyle w:val="6"/>
        <w:widowControl/>
        <w:spacing w:beforeAutospacing="0" w:afterAutospacing="0" w:line="324" w:lineRule="atLeast"/>
      </w:pPr>
      <w:r>
        <w:rPr>
          <w:rFonts w:ascii="Verdana" w:hAnsi="Verdana" w:cs="Verdana"/>
          <w:color w:val="333333"/>
          <w:sz w:val="18"/>
          <w:szCs w:val="18"/>
          <w:shd w:val="clear" w:color="auto" w:fill="FEFCFD"/>
        </w:rPr>
        <w:t> </w:t>
      </w:r>
    </w:p>
    <w:p w14:paraId="6DAB15D8">
      <w:pPr>
        <w:pStyle w:val="6"/>
        <w:widowControl/>
        <w:spacing w:beforeAutospacing="0" w:afterAutospacing="0" w:line="324" w:lineRule="atLeast"/>
      </w:pPr>
      <w:r>
        <w:rPr>
          <w:rFonts w:ascii="Verdana" w:hAnsi="Verdana" w:cs="Verdana"/>
          <w:color w:val="333333"/>
          <w:sz w:val="18"/>
          <w:szCs w:val="18"/>
          <w:shd w:val="clear" w:color="auto" w:fill="FEFCFD"/>
        </w:rPr>
        <w:t> </w:t>
      </w:r>
    </w:p>
    <w:p w14:paraId="3DBF4B4B">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1725" cy="5611495"/>
            <wp:effectExtent l="0" t="0" r="9525" b="8255"/>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1725" cy="5611495"/>
                    </a:xfrm>
                    <a:prstGeom prst="rect">
                      <a:avLst/>
                    </a:prstGeom>
                    <a:noFill/>
                    <a:ln w="9525">
                      <a:noFill/>
                    </a:ln>
                  </pic:spPr>
                </pic:pic>
              </a:graphicData>
            </a:graphic>
          </wp:inline>
        </w:drawing>
      </w:r>
    </w:p>
    <w:p w14:paraId="6069E93B">
      <w:pPr>
        <w:pStyle w:val="6"/>
        <w:widowControl/>
        <w:spacing w:beforeAutospacing="0" w:afterAutospacing="0" w:line="324" w:lineRule="atLeast"/>
      </w:pPr>
      <w:r>
        <w:rPr>
          <w:rFonts w:ascii="Verdana" w:hAnsi="Verdana" w:cs="Verdana"/>
          <w:color w:val="333333"/>
          <w:sz w:val="18"/>
          <w:szCs w:val="18"/>
          <w:shd w:val="clear" w:color="auto" w:fill="FEFCFD"/>
        </w:rPr>
        <w:t> </w:t>
      </w:r>
    </w:p>
    <w:p w14:paraId="0697140A">
      <w:pPr>
        <w:widowControl/>
        <w:shd w:val="clear" w:color="auto" w:fill="F2F2F4"/>
        <w:jc w:val="left"/>
        <w:rPr>
          <w:rFonts w:ascii="Verdana" w:hAnsi="Verdana" w:cs="Verdana"/>
          <w:color w:val="333333"/>
          <w:sz w:val="18"/>
          <w:szCs w:val="18"/>
        </w:rPr>
      </w:pPr>
    </w:p>
    <w:p w14:paraId="74818BBC">
      <w:pPr>
        <w:rPr>
          <w:rFonts w:ascii="Verdana" w:hAnsi="Verdana" w:cs="Verdana"/>
          <w:color w:val="000000"/>
          <w:sz w:val="28"/>
        </w:rPr>
      </w:pPr>
    </w:p>
    <w:p w14:paraId="6AE0CED9">
      <w:pPr>
        <w:rPr>
          <w:rFonts w:ascii="Verdana" w:hAnsi="Verdana" w:cs="Verdana"/>
          <w:b/>
          <w:color w:val="000000"/>
          <w:sz w:val="22"/>
        </w:rPr>
      </w:pPr>
      <w:r>
        <w:rPr>
          <w:rFonts w:hint="eastAsia" w:ascii="Verdana" w:hAnsi="Verdana" w:cs="Verdana"/>
          <w:b/>
          <w:color w:val="000000"/>
          <w:sz w:val="22"/>
        </w:rPr>
        <w:t>About Us</w:t>
      </w:r>
    </w:p>
    <w:p w14:paraId="5AA302A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9D07F88">
      <w:pPr>
        <w:rPr>
          <w:rFonts w:ascii="Verdana" w:hAnsi="Verdana" w:cs="Verdana"/>
          <w:color w:val="000000"/>
          <w:sz w:val="18"/>
        </w:rPr>
      </w:pPr>
    </w:p>
    <w:p w14:paraId="77011775">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3187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5C2A49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1FA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52D37"/>
    <w:rsid w:val="00665764"/>
    <w:rsid w:val="00731840"/>
    <w:rsid w:val="007349B0"/>
    <w:rsid w:val="007359E2"/>
    <w:rsid w:val="0077681E"/>
    <w:rsid w:val="008D6808"/>
    <w:rsid w:val="00952937"/>
    <w:rsid w:val="00A16F8C"/>
    <w:rsid w:val="00A35CEF"/>
    <w:rsid w:val="00AE759F"/>
    <w:rsid w:val="00AF7C10"/>
    <w:rsid w:val="00B11FEF"/>
    <w:rsid w:val="00B14F4A"/>
    <w:rsid w:val="00B4381C"/>
    <w:rsid w:val="00B539FF"/>
    <w:rsid w:val="00B56E04"/>
    <w:rsid w:val="00B86782"/>
    <w:rsid w:val="00BD4043"/>
    <w:rsid w:val="00C44FAF"/>
    <w:rsid w:val="00D24477"/>
    <w:rsid w:val="00DD0B75"/>
    <w:rsid w:val="00F268A0"/>
    <w:rsid w:val="00F714FF"/>
    <w:rsid w:val="00F7593F"/>
    <w:rsid w:val="00FC60FC"/>
    <w:rsid w:val="033D434A"/>
    <w:rsid w:val="0A680B1B"/>
    <w:rsid w:val="0E180304"/>
    <w:rsid w:val="0E714EC9"/>
    <w:rsid w:val="0FC87CEA"/>
    <w:rsid w:val="101C4557"/>
    <w:rsid w:val="15C25510"/>
    <w:rsid w:val="17FD073D"/>
    <w:rsid w:val="18AE427D"/>
    <w:rsid w:val="18E81EA3"/>
    <w:rsid w:val="1B974A15"/>
    <w:rsid w:val="1CDC4CA0"/>
    <w:rsid w:val="1FCC39C5"/>
    <w:rsid w:val="20F61905"/>
    <w:rsid w:val="2199682E"/>
    <w:rsid w:val="239E3C7B"/>
    <w:rsid w:val="25E94F5F"/>
    <w:rsid w:val="27B55639"/>
    <w:rsid w:val="2A752F8B"/>
    <w:rsid w:val="2C665CEA"/>
    <w:rsid w:val="2E0F6BE8"/>
    <w:rsid w:val="2FF2695F"/>
    <w:rsid w:val="314F3E41"/>
    <w:rsid w:val="33F45AE8"/>
    <w:rsid w:val="364018F4"/>
    <w:rsid w:val="3B533162"/>
    <w:rsid w:val="3BB512A4"/>
    <w:rsid w:val="45872050"/>
    <w:rsid w:val="478E224E"/>
    <w:rsid w:val="485E04E5"/>
    <w:rsid w:val="487316FE"/>
    <w:rsid w:val="49B75FAC"/>
    <w:rsid w:val="4A365020"/>
    <w:rsid w:val="4E4A4BF6"/>
    <w:rsid w:val="4F8D25ED"/>
    <w:rsid w:val="51AD130D"/>
    <w:rsid w:val="51C239E8"/>
    <w:rsid w:val="540A3FAB"/>
    <w:rsid w:val="54F3444A"/>
    <w:rsid w:val="562E484B"/>
    <w:rsid w:val="56834992"/>
    <w:rsid w:val="5930748A"/>
    <w:rsid w:val="59933671"/>
    <w:rsid w:val="5A1A7E4B"/>
    <w:rsid w:val="5AA83521"/>
    <w:rsid w:val="5BD4498F"/>
    <w:rsid w:val="5EEA5249"/>
    <w:rsid w:val="5F7D670D"/>
    <w:rsid w:val="609213A6"/>
    <w:rsid w:val="61BA6334"/>
    <w:rsid w:val="63C27F07"/>
    <w:rsid w:val="68AD6386"/>
    <w:rsid w:val="693450B8"/>
    <w:rsid w:val="6D7A6503"/>
    <w:rsid w:val="70757613"/>
    <w:rsid w:val="70B756B4"/>
    <w:rsid w:val="73270F88"/>
    <w:rsid w:val="74455F31"/>
    <w:rsid w:val="7540100C"/>
    <w:rsid w:val="77935A18"/>
    <w:rsid w:val="7B8E7427"/>
    <w:rsid w:val="7EAE425E"/>
    <w:rsid w:val="7FBF209A"/>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Other%20Device%20Ralated/NDS3559D%20Channel%20Convertor/3EEECN_20160706102537.jpg" TargetMode="External"/><Relationship Id="rId8" Type="http://schemas.openxmlformats.org/officeDocument/2006/relationships/image" Target="media/image3.jpeg"/><Relationship Id="rId7" Type="http://schemas.openxmlformats.org/officeDocument/2006/relationships/hyperlink" Target="https://english.dsdvb.com/Upload/images/Product/Other%20Device%20Ralated/NDS3559D%20Channel%20Convertor/3EEECN_2017062303222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Other%20Device%20Ralated/NDS3559D%20Channel%20Convertor/3EEECN_20160706102801.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162</Words>
  <Characters>969</Characters>
  <Lines>14</Lines>
  <Paragraphs>3</Paragraphs>
  <TotalTime>1</TotalTime>
  <ScaleCrop>false</ScaleCrop>
  <LinksUpToDate>false</LinksUpToDate>
  <CharactersWithSpaces>1110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2026-08-11T06:34:12Z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