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098F7D">
      <w:pPr>
        <w:pStyle w:val="6"/>
        <w:widowControl/>
        <w:shd w:val="clear" w:color="auto" w:fill="FEFCFD"/>
        <w:spacing w:beforeAutospacing="0" w:afterAutospacing="0"/>
        <w:jc w:val="center"/>
        <w:rPr>
          <w:rFonts w:ascii="Verdana" w:hAnsi="Verdana" w:cs="Verdana"/>
          <w:color w:val="000000"/>
          <w:sz w:val="28"/>
        </w:rPr>
      </w:pPr>
      <w:r>
        <w:rPr>
          <w:rFonts w:hint="eastAsia" w:ascii="Verdana" w:hAnsi="Verdana" w:cs="Verdana"/>
          <w:b/>
          <w:i w:val="0"/>
          <w:strike w:val="0"/>
          <w:color w:val="000000"/>
          <w:sz w:val="22"/>
          <w:lang w:eastAsia="zh-CN"/>
        </w:rPr>
        <w:t>FMUSER FUQ-4713 DVB-ASI Distributor 2-Input 24-Output DVB-ASI Signal Hub LCD Display SNMP NMS Control Broadcast CATV</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Headend </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80827034733"/>
            <wp:cNvGraphicFramePr/>
            <a:graphic xmlns:a="http://schemas.openxmlformats.org/drawingml/2006/main">
              <a:graphicData uri="http://schemas.openxmlformats.org/drawingml/2006/picture">
                <pic:pic xmlns:pic="http://schemas.openxmlformats.org/drawingml/2006/picture">
                  <pic:nvPicPr>
                    <pic:cNvPr id="1" name="图片 1" descr="3EEECN_20180827034733"/>
                    <pic:cNvPicPr/>
                  </pic:nvPicPr>
                  <pic:blipFill>
                    <a:blip r:embed="rId6"/>
                    <a:stretch>
                      <a:fillRect/>
                    </a:stretch>
                  </pic:blipFill>
                  <pic:spPr>
                    <a:xfrm>
                      <a:off x="0" y="0"/>
                      <a:ext cx="6181725" cy="3400425"/>
                    </a:xfrm>
                    <a:prstGeom prst="rect">
                      <a:avLst/>
                    </a:prstGeom>
                  </pic:spPr>
                </pic:pic>
              </a:graphicData>
            </a:graphic>
          </wp:inline>
        </w:drawing>
      </w:r>
      <w:bookmarkEnd w:id="0"/>
    </w:p>
    <w:p w14:paraId="304D9CAF">
      <w:pPr>
        <w:pStyle w:val="6"/>
        <w:widowControl/>
        <w:shd w:val="clear" w:color="auto" w:fill="FEFCFD"/>
        <w:spacing w:beforeAutospacing="0" w:afterAutospacing="0"/>
        <w:jc w:val="left"/>
        <w:rPr>
          <w:rFonts w:hint="eastAsia" w:ascii="Verdana" w:hAnsi="Verdana" w:cs="Verdana" w:eastAsiaTheme="minorEastAsia"/>
          <w:color w:val="333333"/>
          <w:sz w:val="18"/>
          <w:szCs w:val="18"/>
          <w:lang w:eastAsia="zh-CN"/>
        </w:rPr>
      </w:pPr>
      <w:r>
        <w:rPr>
          <w:rStyle w:val="10"/>
          <w:rFonts w:hint="eastAsia" w:ascii="Verdana" w:hAnsi="Verdana" w:cs="Verdana"/>
          <w:color w:val="333333"/>
          <w:sz w:val="18"/>
          <w:szCs w:val="18"/>
          <w:shd w:val="clear" w:color="auto" w:fill="FEFCFD"/>
          <w:lang w:eastAsia="zh-CN"/>
        </w:rPr>
        <w:t>Product overview</w:t>
      </w:r>
    </w:p>
    <w:p w14:paraId="3EFEA413">
      <w:pPr>
        <w:pStyle w:val="6"/>
        <w:widowControl/>
        <w:shd w:val="clear" w:color="auto" w:fill="FEFCFD"/>
        <w:spacing w:beforeAutospacing="0" w:afterAutospacing="0"/>
        <w:rPr>
          <w:rFonts w:ascii="Verdana" w:hAnsi="Verdana" w:cs="Verdana"/>
          <w:color w:val="333333"/>
          <w:sz w:val="18"/>
          <w:szCs w:val="18"/>
        </w:rPr>
      </w:pPr>
      <w:r>
        <w:rPr>
          <w:rFonts w:hint="eastAsia" w:ascii="Verdana" w:hAnsi="Verdana" w:cs="Verdana"/>
          <w:color w:val="333333"/>
          <w:sz w:val="18"/>
          <w:szCs w:val="18"/>
          <w:shd w:val="clear" w:color="auto" w:fill="FEFCFD"/>
        </w:rPr>
        <w:t>The FMUSER FUQ-4713 is a DVB-ASI distribution hub with 2 inputs and 24 outputs (6×4 groups) for digital TV signal routing. It processes 1-216Mbps ASI signals with synchronized output replication. Features LCD display, front-panel keyboard, and SNMP-based NMS for remote monitoring. Ideal for broadcast headends and CATV systems requiring multi-device signal distribution.</w:t>
      </w:r>
      <w:r>
        <w:rPr>
          <w:rFonts w:ascii="Verdana" w:hAnsi="Verdana" w:cs="Verdana"/>
          <w:color w:val="333333"/>
          <w:sz w:val="18"/>
          <w:szCs w:val="18"/>
          <w:shd w:val="clear" w:color="auto" w:fill="FEFCFD"/>
        </w:rPr>
        <w:t> </w:t>
      </w:r>
    </w:p>
    <w:p w14:paraId="2889FD91">
      <w:pPr>
        <w:pStyle w:val="6"/>
        <w:widowControl/>
        <w:shd w:val="clear" w:color="auto" w:fill="FEFCFD"/>
        <w:spacing w:beforeAutospacing="0" w:afterAutospacing="0"/>
        <w:rPr>
          <w:rFonts w:hint="eastAsia" w:ascii="Verdana" w:hAnsi="Verdana" w:cs="Verdana" w:eastAsiaTheme="minorEastAsia"/>
          <w:color w:val="333333"/>
          <w:sz w:val="18"/>
          <w:szCs w:val="18"/>
          <w:lang w:eastAsia="zh-CN"/>
        </w:rPr>
      </w:pPr>
      <w:r>
        <w:rPr>
          <w:rStyle w:val="10"/>
          <w:rFonts w:hint="eastAsia" w:ascii="Verdana" w:hAnsi="Verdana" w:cs="Verdana"/>
          <w:color w:val="333333"/>
          <w:sz w:val="18"/>
          <w:szCs w:val="18"/>
          <w:shd w:val="clear" w:color="auto" w:fill="FEFCFD"/>
          <w:lang w:eastAsia="zh-CN"/>
        </w:rPr>
        <w:t>Key feature</w:t>
      </w:r>
    </w:p>
    <w:p w14:paraId="475F4CB0">
      <w:pPr>
        <w:pStyle w:val="6"/>
        <w:widowControl/>
        <w:shd w:val="clear" w:color="auto" w:fill="FEFCFD"/>
        <w:spacing w:beforeAutospacing="0" w:afterAutospacing="0"/>
        <w:rPr>
          <w:rFonts w:ascii="Verdana" w:hAnsi="Verdana" w:cs="Verdana"/>
          <w:color w:val="333333"/>
          <w:sz w:val="18"/>
          <w:szCs w:val="18"/>
        </w:rPr>
      </w:pPr>
      <w:r>
        <w:rPr>
          <w:rFonts w:hint="eastAsia" w:ascii="Verdana" w:hAnsi="Verdana" w:cs="Verdana"/>
          <w:color w:val="333333"/>
          <w:sz w:val="18"/>
          <w:szCs w:val="18"/>
        </w:rPr>
        <w:t>Operates at 220VAC±10%, 50Hz with 0-45°C operating temperature range</w:t>
      </w:r>
    </w:p>
    <w:p w14:paraId="5DA0534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04D01B4D">
      <w:pPr>
        <w:pStyle w:val="6"/>
        <w:widowControl/>
        <w:shd w:val="clear" w:color="auto" w:fill="FEFCFD"/>
        <w:spacing w:beforeAutospacing="0" w:afterAutospacing="0"/>
        <w:rPr>
          <w:rFonts w:ascii="Verdana" w:hAnsi="Verdana" w:cs="Verdana"/>
          <w:color w:val="333333"/>
          <w:sz w:val="18"/>
          <w:szCs w:val="18"/>
        </w:rPr>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Layout w:type="autofit"/>
        <w:tblCellMar>
          <w:top w:w="0" w:type="dxa"/>
          <w:left w:w="0" w:type="dxa"/>
          <w:bottom w:w="0" w:type="dxa"/>
          <w:right w:w="0" w:type="dxa"/>
        </w:tblCellMar>
      </w:tblPr>
      <w:tblGrid>
        <w:gridCol w:w="2661"/>
        <w:gridCol w:w="2712"/>
        <w:gridCol w:w="4377"/>
      </w:tblGrid>
      <w:tr w14:paraId="3B9E84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restart"/>
            <w:shd w:val="clear" w:color="auto" w:fill="FEFCFD"/>
            <w:vAlign w:val="center"/>
          </w:tcPr>
          <w:p w14:paraId="15FFF275">
            <w:pPr>
              <w:pStyle w:val="6"/>
              <w:widowControl/>
              <w:spacing w:beforeAutospacing="0" w:afterAutospacing="0" w:line="324" w:lineRule="atLeast"/>
            </w:pPr>
            <w:r>
              <w:rPr>
                <w:rStyle w:val="10"/>
                <w:rFonts w:ascii="Verdana" w:hAnsi="Verdana" w:cs="Verdana"/>
                <w:color w:val="333333"/>
                <w:sz w:val="18"/>
                <w:szCs w:val="18"/>
              </w:rPr>
              <w:t>Interface</w:t>
            </w:r>
          </w:p>
        </w:tc>
        <w:tc>
          <w:tcPr>
            <w:tcW w:w="0" w:type="auto"/>
            <w:shd w:val="clear" w:color="auto" w:fill="FEFCFD"/>
            <w:vAlign w:val="center"/>
          </w:tcPr>
          <w:p w14:paraId="3A34BBC8">
            <w:pPr>
              <w:pStyle w:val="6"/>
              <w:widowControl/>
              <w:spacing w:beforeAutospacing="0" w:afterAutospacing="0" w:line="324" w:lineRule="atLeast"/>
              <w:ind w:left="105"/>
            </w:pPr>
            <w:r>
              <w:rPr>
                <w:rFonts w:ascii="Verdana" w:hAnsi="Verdana" w:cs="Verdana"/>
                <w:color w:val="333333"/>
                <w:sz w:val="18"/>
                <w:szCs w:val="18"/>
              </w:rPr>
              <w:t>Input interface</w:t>
            </w:r>
          </w:p>
        </w:tc>
        <w:tc>
          <w:tcPr>
            <w:tcW w:w="0" w:type="auto"/>
            <w:shd w:val="clear" w:color="auto" w:fill="FEFCFD"/>
            <w:vAlign w:val="center"/>
          </w:tcPr>
          <w:p w14:paraId="43FD8474">
            <w:pPr>
              <w:pStyle w:val="6"/>
              <w:widowControl/>
              <w:spacing w:beforeAutospacing="0" w:afterAutospacing="0" w:line="324" w:lineRule="atLeast"/>
              <w:ind w:left="105"/>
            </w:pPr>
            <w:r>
              <w:rPr>
                <w:rFonts w:ascii="Verdana" w:hAnsi="Verdana" w:cs="Verdana"/>
                <w:color w:val="333333"/>
                <w:sz w:val="18"/>
                <w:szCs w:val="18"/>
              </w:rPr>
              <w:t>DVB ASI</w:t>
            </w:r>
          </w:p>
        </w:tc>
      </w:tr>
      <w:tr w14:paraId="35436F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FEFCFD"/>
            <w:vAlign w:val="center"/>
          </w:tcPr>
          <w:p w14:paraId="4115BACE">
            <w:pPr>
              <w:jc w:val="left"/>
              <w:rPr>
                <w:rFonts w:ascii="Verdana" w:hAnsi="Verdana" w:cs="Verdana"/>
                <w:color w:val="333333"/>
                <w:sz w:val="18"/>
                <w:szCs w:val="18"/>
              </w:rPr>
            </w:pPr>
          </w:p>
        </w:tc>
        <w:tc>
          <w:tcPr>
            <w:tcW w:w="0" w:type="auto"/>
            <w:shd w:val="clear" w:color="auto" w:fill="FEFCFD"/>
            <w:vAlign w:val="center"/>
          </w:tcPr>
          <w:p w14:paraId="4EDCC5BE">
            <w:pPr>
              <w:pStyle w:val="6"/>
              <w:widowControl/>
              <w:spacing w:beforeAutospacing="0" w:afterAutospacing="0" w:line="324" w:lineRule="atLeast"/>
              <w:ind w:left="105"/>
            </w:pPr>
            <w:r>
              <w:rPr>
                <w:rFonts w:ascii="Verdana" w:hAnsi="Verdana" w:cs="Verdana"/>
                <w:color w:val="333333"/>
                <w:sz w:val="18"/>
                <w:szCs w:val="18"/>
              </w:rPr>
              <w:t>Input interface number</w:t>
            </w:r>
          </w:p>
        </w:tc>
        <w:tc>
          <w:tcPr>
            <w:tcW w:w="0" w:type="auto"/>
            <w:shd w:val="clear" w:color="auto" w:fill="FEFCFD"/>
            <w:vAlign w:val="center"/>
          </w:tcPr>
          <w:p w14:paraId="63C700F1">
            <w:pPr>
              <w:pStyle w:val="6"/>
              <w:widowControl/>
              <w:spacing w:beforeAutospacing="0" w:afterAutospacing="0" w:line="324" w:lineRule="atLeast"/>
              <w:ind w:left="105"/>
            </w:pPr>
            <w:r>
              <w:rPr>
                <w:rFonts w:ascii="Verdana" w:hAnsi="Verdana" w:cs="Verdana"/>
                <w:color w:val="333333"/>
                <w:sz w:val="18"/>
                <w:szCs w:val="18"/>
              </w:rPr>
              <w:t>2</w:t>
            </w:r>
          </w:p>
        </w:tc>
      </w:tr>
      <w:tr w14:paraId="19304C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0" w:type="dxa"/>
            <w:left w:w="0" w:type="dxa"/>
            <w:bottom w:w="0" w:type="dxa"/>
            <w:right w:w="0" w:type="dxa"/>
          </w:tblCellMar>
        </w:tblPrEx>
        <w:trPr>
          <w:tblCellSpacing w:w="0" w:type="dxa"/>
        </w:trPr>
        <w:tc>
          <w:tcPr>
            <w:tcW w:w="0" w:type="auto"/>
            <w:vMerge w:val="continue"/>
            <w:shd w:val="clear" w:color="auto" w:fill="FEFCFD"/>
            <w:vAlign w:val="center"/>
          </w:tcPr>
          <w:p w14:paraId="6D4B2157">
            <w:pPr>
              <w:jc w:val="left"/>
              <w:rPr>
                <w:rFonts w:ascii="Verdana" w:hAnsi="Verdana" w:cs="Verdana"/>
                <w:color w:val="333333"/>
                <w:sz w:val="18"/>
                <w:szCs w:val="18"/>
              </w:rPr>
            </w:pPr>
          </w:p>
        </w:tc>
        <w:tc>
          <w:tcPr>
            <w:tcW w:w="0" w:type="auto"/>
            <w:shd w:val="clear" w:color="auto" w:fill="FEFCFD"/>
            <w:vAlign w:val="center"/>
          </w:tcPr>
          <w:p w14:paraId="2CD8DF07">
            <w:pPr>
              <w:pStyle w:val="6"/>
              <w:widowControl/>
              <w:spacing w:beforeAutospacing="0" w:afterAutospacing="0" w:line="324" w:lineRule="atLeast"/>
              <w:ind w:left="105"/>
            </w:pPr>
            <w:r>
              <w:rPr>
                <w:rFonts w:ascii="Verdana" w:hAnsi="Verdana" w:cs="Verdana"/>
                <w:color w:val="333333"/>
                <w:sz w:val="18"/>
                <w:szCs w:val="18"/>
              </w:rPr>
              <w:t>Output interface</w:t>
            </w:r>
          </w:p>
        </w:tc>
        <w:tc>
          <w:tcPr>
            <w:tcW w:w="0" w:type="auto"/>
            <w:shd w:val="clear" w:color="auto" w:fill="FEFCFD"/>
            <w:vAlign w:val="center"/>
          </w:tcPr>
          <w:p w14:paraId="5AFAA4BE">
            <w:pPr>
              <w:pStyle w:val="6"/>
              <w:widowControl/>
              <w:spacing w:beforeAutospacing="0" w:afterAutospacing="0" w:line="324" w:lineRule="atLeast"/>
              <w:ind w:left="105"/>
            </w:pPr>
            <w:r>
              <w:rPr>
                <w:rFonts w:ascii="Verdana" w:hAnsi="Verdana" w:cs="Verdana"/>
                <w:color w:val="333333"/>
                <w:sz w:val="18"/>
                <w:szCs w:val="18"/>
              </w:rPr>
              <w:t>DVB ASI</w:t>
            </w:r>
          </w:p>
        </w:tc>
      </w:tr>
      <w:tr w14:paraId="1363EF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0" w:type="dxa"/>
            <w:left w:w="0" w:type="dxa"/>
            <w:bottom w:w="0" w:type="dxa"/>
            <w:right w:w="0" w:type="dxa"/>
          </w:tblCellMar>
        </w:tblPrEx>
        <w:trPr>
          <w:tblCellSpacing w:w="0" w:type="dxa"/>
        </w:trPr>
        <w:tc>
          <w:tcPr>
            <w:tcW w:w="0" w:type="auto"/>
            <w:vMerge w:val="continue"/>
            <w:shd w:val="clear" w:color="auto" w:fill="FEFCFD"/>
            <w:vAlign w:val="center"/>
          </w:tcPr>
          <w:p w14:paraId="0EF44BAC">
            <w:pPr>
              <w:jc w:val="left"/>
              <w:rPr>
                <w:rFonts w:ascii="Verdana" w:hAnsi="Verdana" w:cs="Verdana"/>
                <w:color w:val="333333"/>
                <w:sz w:val="18"/>
                <w:szCs w:val="18"/>
              </w:rPr>
            </w:pPr>
          </w:p>
        </w:tc>
        <w:tc>
          <w:tcPr>
            <w:tcW w:w="0" w:type="auto"/>
            <w:shd w:val="clear" w:color="auto" w:fill="FEFCFD"/>
            <w:vAlign w:val="center"/>
          </w:tcPr>
          <w:p w14:paraId="7FB573A3">
            <w:pPr>
              <w:pStyle w:val="6"/>
              <w:widowControl/>
              <w:spacing w:beforeAutospacing="0" w:afterAutospacing="0" w:line="324" w:lineRule="atLeast"/>
              <w:ind w:left="105"/>
            </w:pPr>
            <w:r>
              <w:rPr>
                <w:rFonts w:ascii="Verdana" w:hAnsi="Verdana" w:cs="Verdana"/>
                <w:color w:val="333333"/>
                <w:sz w:val="18"/>
                <w:szCs w:val="18"/>
              </w:rPr>
              <w:t>Output interface number</w:t>
            </w:r>
          </w:p>
        </w:tc>
        <w:tc>
          <w:tcPr>
            <w:tcW w:w="0" w:type="auto"/>
            <w:shd w:val="clear" w:color="auto" w:fill="FEFCFD"/>
            <w:vAlign w:val="center"/>
          </w:tcPr>
          <w:p w14:paraId="1D6D4FE4">
            <w:pPr>
              <w:pStyle w:val="6"/>
              <w:widowControl/>
              <w:spacing w:beforeAutospacing="0" w:afterAutospacing="0" w:line="324" w:lineRule="atLeast"/>
              <w:ind w:left="105"/>
            </w:pPr>
            <w:r>
              <w:rPr>
                <w:rFonts w:ascii="Verdana" w:hAnsi="Verdana" w:cs="Verdana"/>
                <w:color w:val="333333"/>
                <w:sz w:val="18"/>
                <w:szCs w:val="18"/>
              </w:rPr>
              <w:t>24</w:t>
            </w:r>
          </w:p>
        </w:tc>
      </w:tr>
      <w:tr w14:paraId="70F0EB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0" w:type="dxa"/>
            <w:left w:w="0" w:type="dxa"/>
            <w:bottom w:w="0" w:type="dxa"/>
            <w:right w:w="0" w:type="dxa"/>
          </w:tblCellMar>
        </w:tblPrEx>
        <w:trPr>
          <w:tblCellSpacing w:w="0" w:type="dxa"/>
        </w:trPr>
        <w:tc>
          <w:tcPr>
            <w:tcW w:w="0" w:type="auto"/>
            <w:shd w:val="clear" w:color="auto" w:fill="FEFCFD"/>
            <w:vAlign w:val="center"/>
          </w:tcPr>
          <w:p w14:paraId="08B4178C">
            <w:pPr>
              <w:pStyle w:val="6"/>
              <w:widowControl/>
              <w:spacing w:beforeAutospacing="0" w:afterAutospacing="0" w:line="324" w:lineRule="atLeast"/>
            </w:pPr>
            <w:r>
              <w:rPr>
                <w:rStyle w:val="10"/>
                <w:rFonts w:ascii="Verdana" w:hAnsi="Verdana" w:cs="Verdana"/>
                <w:color w:val="333333"/>
                <w:sz w:val="18"/>
                <w:szCs w:val="18"/>
              </w:rPr>
              <w:t>Interface Specification</w:t>
            </w:r>
          </w:p>
        </w:tc>
        <w:tc>
          <w:tcPr>
            <w:tcW w:w="0" w:type="auto"/>
            <w:shd w:val="clear" w:color="auto" w:fill="FEFCFD"/>
            <w:vAlign w:val="center"/>
          </w:tcPr>
          <w:p w14:paraId="091C839B">
            <w:pPr>
              <w:pStyle w:val="6"/>
              <w:widowControl/>
              <w:spacing w:beforeAutospacing="0" w:afterAutospacing="0" w:line="324" w:lineRule="atLeast"/>
              <w:ind w:left="105"/>
            </w:pPr>
            <w:r>
              <w:rPr>
                <w:rFonts w:ascii="Verdana" w:hAnsi="Verdana" w:cs="Verdana"/>
                <w:color w:val="333333"/>
                <w:sz w:val="18"/>
                <w:szCs w:val="18"/>
              </w:rPr>
              <w:t>ASI</w:t>
            </w:r>
          </w:p>
        </w:tc>
        <w:tc>
          <w:tcPr>
            <w:tcW w:w="0" w:type="auto"/>
            <w:shd w:val="clear" w:color="auto" w:fill="FEFCFD"/>
            <w:vAlign w:val="center"/>
          </w:tcPr>
          <w:p w14:paraId="2F8D8C4B">
            <w:pPr>
              <w:pStyle w:val="6"/>
              <w:widowControl/>
              <w:spacing w:beforeAutospacing="0" w:afterAutospacing="0" w:line="324" w:lineRule="atLeast"/>
              <w:ind w:left="105"/>
            </w:pPr>
            <w:r>
              <w:rPr>
                <w:rFonts w:ascii="Verdana" w:hAnsi="Verdana" w:cs="Verdana"/>
                <w:color w:val="333333"/>
                <w:sz w:val="18"/>
                <w:szCs w:val="18"/>
              </w:rPr>
              <w:t>DVB Standard</w:t>
            </w:r>
          </w:p>
        </w:tc>
      </w:tr>
      <w:tr w14:paraId="3CEF66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shd w:val="clear" w:color="auto" w:fill="FEFCFD"/>
            <w:vAlign w:val="center"/>
          </w:tcPr>
          <w:p w14:paraId="4B87EC8C">
            <w:pPr>
              <w:pStyle w:val="6"/>
              <w:widowControl/>
              <w:spacing w:beforeAutospacing="0" w:afterAutospacing="0" w:line="324" w:lineRule="atLeast"/>
            </w:pPr>
            <w:r>
              <w:rPr>
                <w:rStyle w:val="10"/>
                <w:rFonts w:ascii="Verdana" w:hAnsi="Verdana" w:cs="Verdana"/>
                <w:color w:val="333333"/>
                <w:sz w:val="18"/>
                <w:szCs w:val="18"/>
              </w:rPr>
              <w:t>Code rate</w:t>
            </w:r>
          </w:p>
        </w:tc>
        <w:tc>
          <w:tcPr>
            <w:tcW w:w="0" w:type="auto"/>
            <w:gridSpan w:val="2"/>
            <w:shd w:val="clear" w:color="auto" w:fill="FEFCFD"/>
            <w:vAlign w:val="center"/>
          </w:tcPr>
          <w:p w14:paraId="78771C46">
            <w:pPr>
              <w:pStyle w:val="6"/>
              <w:widowControl/>
              <w:spacing w:beforeAutospacing="0" w:afterAutospacing="0" w:line="324" w:lineRule="atLeast"/>
              <w:ind w:left="105"/>
            </w:pPr>
            <w:r>
              <w:rPr>
                <w:rFonts w:ascii="Verdana" w:hAnsi="Verdana" w:cs="Verdana"/>
                <w:color w:val="333333"/>
                <w:sz w:val="18"/>
                <w:szCs w:val="18"/>
              </w:rPr>
              <w:t>1-216Mbps</w:t>
            </w:r>
          </w:p>
        </w:tc>
      </w:tr>
      <w:tr w14:paraId="466172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0" w:type="dxa"/>
            <w:left w:w="0" w:type="dxa"/>
            <w:bottom w:w="0" w:type="dxa"/>
            <w:right w:w="0" w:type="dxa"/>
          </w:tblCellMar>
        </w:tblPrEx>
        <w:trPr>
          <w:tblCellSpacing w:w="0" w:type="dxa"/>
        </w:trPr>
        <w:tc>
          <w:tcPr>
            <w:tcW w:w="0" w:type="auto"/>
            <w:vMerge w:val="restart"/>
            <w:shd w:val="clear" w:color="auto" w:fill="FEFCFD"/>
            <w:vAlign w:val="center"/>
          </w:tcPr>
          <w:p w14:paraId="2B3D85DA">
            <w:pPr>
              <w:pStyle w:val="6"/>
              <w:widowControl/>
              <w:spacing w:beforeAutospacing="0" w:afterAutospacing="0" w:line="324" w:lineRule="atLeast"/>
            </w:pPr>
            <w:r>
              <w:rPr>
                <w:rStyle w:val="10"/>
                <w:rFonts w:ascii="Verdana" w:hAnsi="Verdana" w:cs="Verdana"/>
                <w:color w:val="333333"/>
                <w:sz w:val="18"/>
                <w:szCs w:val="18"/>
              </w:rPr>
              <w:t>Miscellaneous</w:t>
            </w:r>
          </w:p>
        </w:tc>
        <w:tc>
          <w:tcPr>
            <w:tcW w:w="0" w:type="auto"/>
            <w:shd w:val="clear" w:color="auto" w:fill="FEFCFD"/>
            <w:vAlign w:val="center"/>
          </w:tcPr>
          <w:p w14:paraId="003DDB38">
            <w:pPr>
              <w:pStyle w:val="6"/>
              <w:widowControl/>
              <w:spacing w:beforeAutospacing="0" w:afterAutospacing="0" w:line="324" w:lineRule="atLeast"/>
              <w:ind w:left="105"/>
            </w:pPr>
            <w:r>
              <w:rPr>
                <w:rFonts w:ascii="Verdana" w:hAnsi="Verdana" w:cs="Verdana"/>
                <w:color w:val="333333"/>
                <w:sz w:val="18"/>
                <w:szCs w:val="18"/>
              </w:rPr>
              <w:t>Dimension</w:t>
            </w:r>
          </w:p>
        </w:tc>
        <w:tc>
          <w:tcPr>
            <w:tcW w:w="0" w:type="auto"/>
            <w:shd w:val="clear" w:color="auto" w:fill="FEFCFD"/>
            <w:vAlign w:val="center"/>
          </w:tcPr>
          <w:p w14:paraId="774DEC6F">
            <w:pPr>
              <w:pStyle w:val="6"/>
              <w:widowControl/>
              <w:spacing w:beforeAutospacing="0" w:afterAutospacing="0" w:line="324" w:lineRule="atLeast"/>
              <w:ind w:left="105"/>
            </w:pPr>
            <w:r>
              <w:rPr>
                <w:rFonts w:ascii="Verdana" w:hAnsi="Verdana" w:cs="Verdana"/>
                <w:color w:val="333333"/>
                <w:sz w:val="18"/>
                <w:szCs w:val="18"/>
              </w:rPr>
              <w:t>44mm x 482mm x 410mm</w:t>
            </w:r>
          </w:p>
        </w:tc>
      </w:tr>
      <w:tr w14:paraId="6E3A3C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0" w:type="dxa"/>
            <w:left w:w="0" w:type="dxa"/>
            <w:bottom w:w="0" w:type="dxa"/>
            <w:right w:w="0" w:type="dxa"/>
          </w:tblCellMar>
        </w:tblPrEx>
        <w:trPr>
          <w:tblCellSpacing w:w="0" w:type="dxa"/>
        </w:trPr>
        <w:tc>
          <w:tcPr>
            <w:tcW w:w="0" w:type="auto"/>
            <w:vMerge w:val="continue"/>
            <w:shd w:val="clear" w:color="auto" w:fill="FEFCFD"/>
            <w:vAlign w:val="center"/>
          </w:tcPr>
          <w:p w14:paraId="4EA0A776">
            <w:pPr>
              <w:jc w:val="left"/>
              <w:rPr>
                <w:rFonts w:ascii="Verdana" w:hAnsi="Verdana" w:cs="Verdana"/>
                <w:color w:val="333333"/>
                <w:sz w:val="18"/>
                <w:szCs w:val="18"/>
              </w:rPr>
            </w:pPr>
          </w:p>
        </w:tc>
        <w:tc>
          <w:tcPr>
            <w:tcW w:w="0" w:type="auto"/>
            <w:shd w:val="clear" w:color="auto" w:fill="FEFCFD"/>
            <w:vAlign w:val="center"/>
          </w:tcPr>
          <w:p w14:paraId="0C7EFD02">
            <w:pPr>
              <w:pStyle w:val="6"/>
              <w:widowControl/>
              <w:spacing w:beforeAutospacing="0" w:afterAutospacing="0" w:line="324" w:lineRule="atLeast"/>
              <w:ind w:left="105"/>
            </w:pPr>
            <w:r>
              <w:rPr>
                <w:rFonts w:ascii="Verdana" w:hAnsi="Verdana" w:cs="Verdana"/>
                <w:color w:val="333333"/>
                <w:sz w:val="18"/>
                <w:szCs w:val="18"/>
              </w:rPr>
              <w:t>Temperature</w:t>
            </w:r>
          </w:p>
        </w:tc>
        <w:tc>
          <w:tcPr>
            <w:tcW w:w="0" w:type="auto"/>
            <w:shd w:val="clear" w:color="auto" w:fill="FEFCFD"/>
            <w:vAlign w:val="center"/>
          </w:tcPr>
          <w:p w14:paraId="61A2A08F">
            <w:pPr>
              <w:pStyle w:val="6"/>
              <w:widowControl/>
              <w:spacing w:beforeAutospacing="0" w:afterAutospacing="0" w:line="324" w:lineRule="atLeast"/>
              <w:ind w:left="105"/>
            </w:pPr>
            <w:r>
              <w:rPr>
                <w:rFonts w:ascii="Verdana" w:hAnsi="Verdana" w:cs="Verdana"/>
                <w:color w:val="333333"/>
                <w:sz w:val="18"/>
                <w:szCs w:val="18"/>
              </w:rPr>
              <w:t>0-45℃(Operation); -20 – 80℃ (Storage)</w:t>
            </w:r>
          </w:p>
        </w:tc>
      </w:tr>
      <w:tr w14:paraId="6DBAC7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FEFCFD"/>
            <w:vAlign w:val="center"/>
          </w:tcPr>
          <w:p w14:paraId="49BBAC7E">
            <w:pPr>
              <w:jc w:val="left"/>
              <w:rPr>
                <w:rFonts w:ascii="Verdana" w:hAnsi="Verdana" w:cs="Verdana"/>
                <w:color w:val="333333"/>
                <w:sz w:val="18"/>
                <w:szCs w:val="18"/>
              </w:rPr>
            </w:pPr>
          </w:p>
        </w:tc>
        <w:tc>
          <w:tcPr>
            <w:tcW w:w="0" w:type="auto"/>
            <w:shd w:val="clear" w:color="auto" w:fill="FEFCFD"/>
            <w:vAlign w:val="center"/>
          </w:tcPr>
          <w:p w14:paraId="6A02C2DC">
            <w:pPr>
              <w:pStyle w:val="6"/>
              <w:widowControl/>
              <w:spacing w:beforeAutospacing="0" w:afterAutospacing="0" w:line="324" w:lineRule="atLeast"/>
              <w:ind w:left="105"/>
            </w:pPr>
            <w:r>
              <w:rPr>
                <w:rFonts w:ascii="Verdana" w:hAnsi="Verdana" w:cs="Verdana"/>
                <w:color w:val="333333"/>
                <w:sz w:val="18"/>
                <w:szCs w:val="18"/>
              </w:rPr>
              <w:t>Power</w:t>
            </w:r>
          </w:p>
        </w:tc>
        <w:tc>
          <w:tcPr>
            <w:tcW w:w="0" w:type="auto"/>
            <w:shd w:val="clear" w:color="auto" w:fill="FEFCFD"/>
            <w:vAlign w:val="center"/>
          </w:tcPr>
          <w:p w14:paraId="20E3E6BB">
            <w:pPr>
              <w:pStyle w:val="6"/>
              <w:widowControl/>
              <w:spacing w:beforeAutospacing="0" w:afterAutospacing="0" w:line="324" w:lineRule="atLeast"/>
              <w:ind w:left="105"/>
            </w:pPr>
            <w:r>
              <w:rPr>
                <w:rFonts w:ascii="Verdana" w:hAnsi="Verdana" w:cs="Verdana"/>
                <w:color w:val="333333"/>
                <w:sz w:val="18"/>
                <w:szCs w:val="18"/>
              </w:rPr>
              <w:t>220VAC± 10%, 50Hz, 10W</w:t>
            </w:r>
          </w:p>
        </w:tc>
      </w:tr>
    </w:tbl>
    <w:p w14:paraId="081A6F48">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47491418">
      <w:pPr>
        <w:rPr>
          <w:rFonts w:ascii="Verdana" w:hAnsi="Verdana" w:cs="Verdana"/>
          <w:color w:val="000000"/>
          <w:sz w:val="28"/>
        </w:rPr>
      </w:pPr>
    </w:p>
    <w:p w14:paraId="68BCCD78">
      <w:pPr>
        <w:rPr>
          <w:rFonts w:ascii="Verdana" w:hAnsi="Verdana" w:cs="Verdana"/>
          <w:b/>
          <w:color w:val="000000"/>
          <w:sz w:val="22"/>
        </w:rPr>
      </w:pPr>
      <w:r>
        <w:rPr>
          <w:rFonts w:hint="eastAsia" w:ascii="Verdana" w:hAnsi="Verdana" w:cs="Verdana"/>
          <w:b/>
          <w:color w:val="000000"/>
          <w:sz w:val="22"/>
        </w:rPr>
        <w:t>About Us</w:t>
      </w:r>
    </w:p>
    <w:p w14:paraId="3EE4258C">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6DAB3E0">
      <w:pPr>
        <w:rPr>
          <w:rFonts w:ascii="Verdana" w:hAnsi="Verdana" w:cs="Verdana"/>
          <w:color w:val="000000"/>
          <w:sz w:val="18"/>
        </w:rPr>
      </w:pPr>
    </w:p>
    <w:p w14:paraId="1F204D90">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428BB">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6E5EC93C">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BAC1E">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465F2"/>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E7AA9"/>
    <w:rsid w:val="00AF7C10"/>
    <w:rsid w:val="00B11FEF"/>
    <w:rsid w:val="00B4381C"/>
    <w:rsid w:val="00B539FF"/>
    <w:rsid w:val="00B56E04"/>
    <w:rsid w:val="00BD4043"/>
    <w:rsid w:val="00C34308"/>
    <w:rsid w:val="00C44FAF"/>
    <w:rsid w:val="00D24477"/>
    <w:rsid w:val="00F268A0"/>
    <w:rsid w:val="00F714FF"/>
    <w:rsid w:val="00F7593F"/>
    <w:rsid w:val="00FC60FC"/>
    <w:rsid w:val="033D434A"/>
    <w:rsid w:val="0A680B1B"/>
    <w:rsid w:val="0E714EC9"/>
    <w:rsid w:val="0FC87CEA"/>
    <w:rsid w:val="101C4557"/>
    <w:rsid w:val="15C25510"/>
    <w:rsid w:val="18AE427D"/>
    <w:rsid w:val="18E81EA3"/>
    <w:rsid w:val="1A9336E9"/>
    <w:rsid w:val="1B974A15"/>
    <w:rsid w:val="1CDC4CA0"/>
    <w:rsid w:val="1FCC39C5"/>
    <w:rsid w:val="20F61905"/>
    <w:rsid w:val="2199682E"/>
    <w:rsid w:val="239E3C7B"/>
    <w:rsid w:val="27B55639"/>
    <w:rsid w:val="29C7162F"/>
    <w:rsid w:val="2A752F8B"/>
    <w:rsid w:val="2C665CEA"/>
    <w:rsid w:val="2E0F6BE8"/>
    <w:rsid w:val="314F3E41"/>
    <w:rsid w:val="3B533162"/>
    <w:rsid w:val="45872050"/>
    <w:rsid w:val="478E224E"/>
    <w:rsid w:val="485E04E5"/>
    <w:rsid w:val="486848E4"/>
    <w:rsid w:val="487316FE"/>
    <w:rsid w:val="49B75FAC"/>
    <w:rsid w:val="4A7E2BC2"/>
    <w:rsid w:val="4B1D305E"/>
    <w:rsid w:val="4E4A4BF6"/>
    <w:rsid w:val="4E5F44A6"/>
    <w:rsid w:val="4F8D25ED"/>
    <w:rsid w:val="51AD130D"/>
    <w:rsid w:val="52BA7986"/>
    <w:rsid w:val="540A3FAB"/>
    <w:rsid w:val="562E484B"/>
    <w:rsid w:val="566B0684"/>
    <w:rsid w:val="56834992"/>
    <w:rsid w:val="5930748A"/>
    <w:rsid w:val="59933671"/>
    <w:rsid w:val="5AA83521"/>
    <w:rsid w:val="5EEA5249"/>
    <w:rsid w:val="609213A6"/>
    <w:rsid w:val="61BA6334"/>
    <w:rsid w:val="63C27F07"/>
    <w:rsid w:val="68AD6386"/>
    <w:rsid w:val="6D7A6503"/>
    <w:rsid w:val="6EDB4A3C"/>
    <w:rsid w:val="70757613"/>
    <w:rsid w:val="70A01371"/>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184</Words>
  <Characters>1099</Characters>
  <Lines>8</Lines>
  <Paragraphs>2</Paragraphs>
  <TotalTime>0</TotalTime>
  <ScaleCrop>false</ScaleCrop>
  <LinksUpToDate>false</LinksUpToDate>
  <CharactersWithSpaces>1257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2026-08-11T06:36:37Z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