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45FCA2">
      <w:pPr>
        <w:pStyle w:val="6"/>
        <w:widowControl/>
        <w:spacing w:beforeAutospacing="0" w:afterAutospacing="0" w:line="324" w:lineRule="atLeast"/>
        <w:jc w:val="center"/>
        <w:rPr>
          <w:rFonts w:ascii="Verdana" w:hAnsi="Verdana" w:cs="Verdana"/>
          <w:b/>
          <w:color w:val="000000"/>
          <w:sz w:val="28"/>
        </w:rPr>
      </w:pPr>
      <w:bookmarkStart w:id="1" w:name="_GoBack"/>
      <w:bookmarkEnd w:id="1"/>
      <w:r>
        <w:rPr>
          <w:rFonts w:hint="eastAsia" w:ascii="Verdana" w:hAnsi="Verdana" w:cs="Verdana"/>
          <w:b/>
          <w:i w:val="0"/>
          <w:strike w:val="0"/>
          <w:color w:val="000000"/>
          <w:sz w:val="28"/>
          <w:lang w:eastAsia="zh-CN"/>
        </w:rPr>
        <w:t>FMUSER FUQ-4825B IP Decoder 8 IP Inputs to 4 HDMI Outputs UDP-RTP MPEG-2-H.264-H.265-AVS Decoding Web-Based Control for Broadcast and Digital Signage</w:t>
      </w:r>
    </w:p>
    <w:p w14:paraId="7D5F06D5">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6181725" cy="3400425"/>
            <wp:effectExtent l="0" t="0" r="9525" b="9525"/>
            <wp:docPr id="1" name="图片 1" descr="3EEECN_20190109063022"/>
            <wp:cNvGraphicFramePr/>
            <a:graphic xmlns:a="http://schemas.openxmlformats.org/drawingml/2006/main">
              <a:graphicData uri="http://schemas.openxmlformats.org/drawingml/2006/picture">
                <pic:pic xmlns:pic="http://schemas.openxmlformats.org/drawingml/2006/picture">
                  <pic:nvPicPr>
                    <pic:cNvPr id="1" name="图片 1" descr="3EEECN_20190109063022"/>
                    <pic:cNvPicPr/>
                  </pic:nvPicPr>
                  <pic:blipFill>
                    <a:blip r:embed="rId6"/>
                    <a:stretch>
                      <a:fillRect/>
                    </a:stretch>
                  </pic:blipFill>
                  <pic:spPr>
                    <a:xfrm>
                      <a:off x="0" y="0"/>
                      <a:ext cx="6181725" cy="3400425"/>
                    </a:xfrm>
                    <a:prstGeom prst="rect">
                      <a:avLst/>
                    </a:prstGeom>
                  </pic:spPr>
                </pic:pic>
              </a:graphicData>
            </a:graphic>
          </wp:inline>
        </w:drawing>
      </w:r>
    </w:p>
    <w:p w14:paraId="081E6182">
      <w:pPr>
        <w:pStyle w:val="6"/>
        <w:widowControl/>
        <w:spacing w:beforeAutospacing="0" w:afterAutospacing="0" w:line="324" w:lineRule="atLeast"/>
      </w:pPr>
      <w:r>
        <w:rPr>
          <w:rStyle w:val="10"/>
          <w:rFonts w:ascii="Verdana" w:hAnsi="Verdana" w:cs="Verdana"/>
          <w:color w:val="333333"/>
          <w:sz w:val="21"/>
          <w:szCs w:val="21"/>
          <w:shd w:val="clear" w:color="auto" w:fill="FEFCFD"/>
        </w:rPr>
        <w:t>Product Overview </w:t>
      </w:r>
    </w:p>
    <w:p w14:paraId="7500DD36">
      <w:pPr>
        <w:pStyle w:val="6"/>
        <w:widowControl/>
        <w:spacing w:beforeAutospacing="0" w:afterAutospacing="0" w:line="324" w:lineRule="atLeast"/>
        <w:rPr>
          <w:rFonts w:hint="eastAsia"/>
          <w:lang w:eastAsia="zh-CN"/>
        </w:rPr>
      </w:pPr>
      <w:bookmarkStart w:id="0" w:name="OLE_LINK1"/>
      <w:bookmarkEnd w:id="0"/>
      <w:r>
        <w:rPr>
          <w:rFonts w:hint="eastAsia"/>
          <w:lang w:eastAsia="zh-CN"/>
        </w:rPr>
        <w:t>The FMUSER FUQ-4825B decodes 8 IP inputs via UDP/RTP, supporting MPEG-2/H.264/H.265/AVS/AVS+ formats. It outputs signals to 4 HDMI channels with embedded stereo audio, enabling manual resolution scaling up to 1080p. Controlled through web-based interface, this decoder is ideal for flexible program distribution in broadcasting and digital signage applications.</w:t>
      </w:r>
    </w:p>
    <w:p w14:paraId="2F3C3D47">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50C8747A">
      <w:pPr>
        <w:pStyle w:val="6"/>
        <w:widowControl/>
        <w:spacing w:beforeAutospacing="0" w:afterAutospacing="0" w:line="324" w:lineRule="atLeast"/>
        <w:rPr>
          <w:rFonts w:hint="eastAsia"/>
        </w:rPr>
      </w:pPr>
      <w:r>
        <w:rPr>
          <w:rFonts w:hint="eastAsia"/>
        </w:rPr>
        <w:t xml:space="preserve">Supports 8 IP inputs over 100M/1000Mbps Ethernet using UDP/RTP for MPTS/SPTS streams,  </w:t>
      </w:r>
    </w:p>
    <w:p w14:paraId="5CB32F4B">
      <w:pPr>
        <w:pStyle w:val="6"/>
        <w:widowControl/>
        <w:spacing w:beforeAutospacing="0" w:afterAutospacing="0" w:line="324" w:lineRule="atLeast"/>
        <w:rPr>
          <w:rFonts w:hint="eastAsia"/>
        </w:rPr>
      </w:pPr>
      <w:r>
        <w:rPr>
          <w:rFonts w:hint="eastAsia"/>
        </w:rPr>
        <w:t xml:space="preserve">Decodes MPEG-2/H.264/H.265/AVS/AVS+ video with MPEG1 Layer 2/LC-AAC/HE-AAC audio (optional),  </w:t>
      </w:r>
    </w:p>
    <w:p w14:paraId="13F523E5">
      <w:pPr>
        <w:pStyle w:val="6"/>
        <w:widowControl/>
        <w:spacing w:beforeAutospacing="0" w:afterAutospacing="0" w:line="324" w:lineRule="atLeast"/>
        <w:rPr>
          <w:rFonts w:hint="eastAsia"/>
        </w:rPr>
      </w:pPr>
      <w:r>
        <w:rPr>
          <w:rFonts w:hint="eastAsia"/>
        </w:rPr>
        <w:t xml:space="preserve">Outputs 4 HDMI channels with embedded stereo audio, supporting resolutions from 480i to 1920×1080_60p,  </w:t>
      </w:r>
    </w:p>
    <w:p w14:paraId="3A893DCE">
      <w:pPr>
        <w:pStyle w:val="6"/>
        <w:widowControl/>
        <w:spacing w:beforeAutospacing="0" w:afterAutospacing="0" w:line="324" w:lineRule="atLeast"/>
      </w:pPr>
      <w:r>
        <w:rPr>
          <w:rFonts w:hint="eastAsia"/>
        </w:rPr>
        <w:t>Enables manual resolution scaling and web-based control for system integration</w:t>
      </w:r>
    </w:p>
    <w:p w14:paraId="05DD9184">
      <w:pPr>
        <w:pStyle w:val="6"/>
        <w:widowControl/>
        <w:spacing w:beforeAutospacing="0" w:afterAutospacing="0" w:line="324" w:lineRule="atLeast"/>
      </w:pPr>
      <w:r>
        <w:rPr>
          <w:rFonts w:ascii="Verdana" w:hAnsi="Verdana" w:cs="Verdana"/>
          <w:color w:val="333333"/>
          <w:sz w:val="18"/>
          <w:szCs w:val="18"/>
          <w:shd w:val="clear" w:color="auto" w:fill="FEFCFD"/>
        </w:rPr>
        <w:t> </w:t>
      </w:r>
    </w:p>
    <w:p w14:paraId="0A0CF9EB">
      <w:pPr>
        <w:pStyle w:val="6"/>
        <w:widowControl/>
        <w:spacing w:beforeAutospacing="0" w:afterAutospacing="0" w:line="324" w:lineRule="atLeast"/>
      </w:pPr>
      <w:r>
        <w:rPr>
          <w:rStyle w:val="10"/>
          <w:rFonts w:ascii="Verdana" w:hAnsi="Verdana" w:cs="Verdana"/>
          <w:color w:val="333333"/>
          <w:sz w:val="21"/>
          <w:szCs w:val="21"/>
          <w:shd w:val="clear" w:color="auto" w:fill="FEFCFD"/>
        </w:rPr>
        <w:t>Principle Chart </w:t>
      </w:r>
    </w:p>
    <w:p w14:paraId="4A447527">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1725" cy="3743325"/>
            <wp:effectExtent l="0" t="0" r="9525" b="952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1725" cy="3743325"/>
                    </a:xfrm>
                    <a:prstGeom prst="rect">
                      <a:avLst/>
                    </a:prstGeom>
                    <a:noFill/>
                    <a:ln w="9525">
                      <a:noFill/>
                    </a:ln>
                  </pic:spPr>
                </pic:pic>
              </a:graphicData>
            </a:graphic>
          </wp:inline>
        </w:drawing>
      </w:r>
    </w:p>
    <w:p w14:paraId="532A41A0">
      <w:pPr>
        <w:pStyle w:val="6"/>
        <w:widowControl/>
        <w:spacing w:beforeAutospacing="0" w:afterAutospacing="0" w:line="324" w:lineRule="atLeast"/>
      </w:pPr>
      <w:r>
        <w:rPr>
          <w:rFonts w:ascii="Verdana" w:hAnsi="Verdana" w:cs="Verdana"/>
          <w:color w:val="333333"/>
          <w:sz w:val="18"/>
          <w:szCs w:val="18"/>
          <w:shd w:val="clear" w:color="auto" w:fill="FEFCFD"/>
        </w:rPr>
        <w:t> </w:t>
      </w:r>
    </w:p>
    <w:p w14:paraId="6107D18F">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831"/>
        <w:gridCol w:w="1606"/>
        <w:gridCol w:w="7313"/>
      </w:tblGrid>
      <w:tr w14:paraId="7CBA21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2F26751">
            <w:pPr>
              <w:pStyle w:val="6"/>
              <w:widowControl/>
              <w:spacing w:beforeAutospacing="0" w:afterAutospacing="0" w:line="324" w:lineRule="atLeast"/>
            </w:pPr>
            <w:r>
              <w:t>Input</w:t>
            </w:r>
          </w:p>
        </w:tc>
        <w:tc>
          <w:tcPr>
            <w:tcW w:w="0" w:type="auto"/>
            <w:gridSpan w:val="2"/>
            <w:shd w:val="clear" w:color="auto" w:fill="auto"/>
            <w:vAlign w:val="center"/>
          </w:tcPr>
          <w:p w14:paraId="1315B510">
            <w:pPr>
              <w:pStyle w:val="6"/>
              <w:widowControl/>
              <w:spacing w:beforeAutospacing="0" w:afterAutospacing="0" w:line="324" w:lineRule="atLeast"/>
            </w:pPr>
            <w:r>
              <w:t>8 IP (100M/1000Mbps Ethernet, RJ45, UDP&amp;RTP protocol, Unicast/multicast)</w:t>
            </w:r>
          </w:p>
        </w:tc>
      </w:tr>
      <w:tr w14:paraId="476BF0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F0CC51F">
            <w:pPr>
              <w:jc w:val="left"/>
              <w:rPr>
                <w:rFonts w:ascii="宋体"/>
                <w:sz w:val="24"/>
                <w:szCs w:val="24"/>
              </w:rPr>
            </w:pPr>
          </w:p>
        </w:tc>
        <w:tc>
          <w:tcPr>
            <w:tcW w:w="0" w:type="auto"/>
            <w:shd w:val="clear" w:color="auto" w:fill="auto"/>
            <w:vAlign w:val="center"/>
          </w:tcPr>
          <w:p w14:paraId="6CF8A4F2">
            <w:pPr>
              <w:pStyle w:val="6"/>
              <w:widowControl/>
              <w:spacing w:beforeAutospacing="0" w:afterAutospacing="0" w:line="324" w:lineRule="atLeast"/>
            </w:pPr>
            <w:r>
              <w:t>Max bitrate</w:t>
            </w:r>
          </w:p>
        </w:tc>
        <w:tc>
          <w:tcPr>
            <w:tcW w:w="0" w:type="auto"/>
            <w:shd w:val="clear" w:color="auto" w:fill="auto"/>
            <w:vAlign w:val="center"/>
          </w:tcPr>
          <w:p w14:paraId="51FED3CB">
            <w:pPr>
              <w:pStyle w:val="6"/>
              <w:widowControl/>
              <w:spacing w:beforeAutospacing="0" w:afterAutospacing="0" w:line="324" w:lineRule="atLeast"/>
            </w:pPr>
            <w:r>
              <w:t>≤900Mbps</w:t>
            </w:r>
          </w:p>
        </w:tc>
      </w:tr>
      <w:tr w14:paraId="07D6A4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8934F9C">
            <w:pPr>
              <w:pStyle w:val="6"/>
              <w:widowControl/>
              <w:spacing w:beforeAutospacing="0" w:afterAutospacing="0" w:line="324" w:lineRule="atLeast"/>
            </w:pPr>
            <w:r>
              <w:t>Decode</w:t>
            </w:r>
          </w:p>
        </w:tc>
        <w:tc>
          <w:tcPr>
            <w:tcW w:w="0" w:type="auto"/>
            <w:shd w:val="clear" w:color="auto" w:fill="auto"/>
            <w:vAlign w:val="center"/>
          </w:tcPr>
          <w:p w14:paraId="15655820">
            <w:pPr>
              <w:pStyle w:val="6"/>
              <w:widowControl/>
              <w:spacing w:beforeAutospacing="0" w:afterAutospacing="0" w:line="324" w:lineRule="atLeast"/>
            </w:pPr>
            <w:r>
              <w:t>Video Format</w:t>
            </w:r>
          </w:p>
        </w:tc>
        <w:tc>
          <w:tcPr>
            <w:tcW w:w="0" w:type="auto"/>
            <w:shd w:val="clear" w:color="auto" w:fill="auto"/>
            <w:vAlign w:val="center"/>
          </w:tcPr>
          <w:p w14:paraId="2F21E816">
            <w:pPr>
              <w:pStyle w:val="6"/>
              <w:widowControl/>
              <w:spacing w:beforeAutospacing="0" w:afterAutospacing="0" w:line="324" w:lineRule="atLeast"/>
            </w:pPr>
            <w:r>
              <w:t>MPEG-2, MPEG-4 AVC/H.264, HEVC/H.265, AVS, AVS+</w:t>
            </w:r>
          </w:p>
        </w:tc>
      </w:tr>
      <w:tr w14:paraId="775ABD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0004C74">
            <w:pPr>
              <w:jc w:val="left"/>
              <w:rPr>
                <w:rFonts w:ascii="宋体"/>
                <w:sz w:val="24"/>
                <w:szCs w:val="24"/>
              </w:rPr>
            </w:pPr>
          </w:p>
        </w:tc>
        <w:tc>
          <w:tcPr>
            <w:tcW w:w="0" w:type="auto"/>
            <w:shd w:val="clear" w:color="auto" w:fill="auto"/>
            <w:vAlign w:val="center"/>
          </w:tcPr>
          <w:p w14:paraId="69162171">
            <w:pPr>
              <w:pStyle w:val="6"/>
              <w:widowControl/>
              <w:spacing w:beforeAutospacing="0" w:afterAutospacing="0" w:line="324" w:lineRule="atLeast"/>
            </w:pPr>
            <w:r>
              <w:t>Interface</w:t>
            </w:r>
          </w:p>
        </w:tc>
        <w:tc>
          <w:tcPr>
            <w:tcW w:w="0" w:type="auto"/>
            <w:shd w:val="clear" w:color="auto" w:fill="auto"/>
            <w:vAlign w:val="center"/>
          </w:tcPr>
          <w:p w14:paraId="75252AA7">
            <w:pPr>
              <w:pStyle w:val="6"/>
              <w:widowControl/>
              <w:spacing w:beforeAutospacing="0" w:afterAutospacing="0" w:line="324" w:lineRule="atLeast"/>
            </w:pPr>
            <w:r>
              <w:t>4* HDMI</w:t>
            </w:r>
          </w:p>
        </w:tc>
      </w:tr>
      <w:tr w14:paraId="25A451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8CA03F7">
            <w:pPr>
              <w:jc w:val="left"/>
              <w:rPr>
                <w:rFonts w:ascii="宋体"/>
                <w:sz w:val="24"/>
                <w:szCs w:val="24"/>
              </w:rPr>
            </w:pPr>
          </w:p>
        </w:tc>
        <w:tc>
          <w:tcPr>
            <w:tcW w:w="0" w:type="auto"/>
            <w:shd w:val="clear" w:color="auto" w:fill="auto"/>
            <w:vAlign w:val="center"/>
          </w:tcPr>
          <w:p w14:paraId="66BEF2EF">
            <w:pPr>
              <w:pStyle w:val="6"/>
              <w:widowControl/>
              <w:spacing w:beforeAutospacing="0" w:afterAutospacing="0" w:line="324" w:lineRule="atLeast"/>
            </w:pPr>
            <w:r>
              <w:t>Video Resolution</w:t>
            </w:r>
          </w:p>
        </w:tc>
        <w:tc>
          <w:tcPr>
            <w:tcW w:w="0" w:type="auto"/>
            <w:shd w:val="clear" w:color="auto" w:fill="auto"/>
            <w:vAlign w:val="center"/>
          </w:tcPr>
          <w:p w14:paraId="3F3F69D7">
            <w:pPr>
              <w:pStyle w:val="6"/>
              <w:widowControl/>
              <w:spacing w:beforeAutospacing="0" w:afterAutospacing="0" w:line="324" w:lineRule="atLeast"/>
            </w:pPr>
            <w:r>
              <w:t>480i, 480p, 576i, 576p,</w:t>
            </w:r>
          </w:p>
          <w:p w14:paraId="0316E7D9">
            <w:pPr>
              <w:pStyle w:val="6"/>
              <w:widowControl/>
              <w:spacing w:beforeAutospacing="0" w:afterAutospacing="0" w:line="324" w:lineRule="atLeast"/>
            </w:pPr>
            <w:r>
              <w:t>1280×720_50p, 1280×720_60p, 1920×1080_50i, 1920×1080_50p 1920×1080_60i, 1920×1080_60p</w:t>
            </w:r>
          </w:p>
        </w:tc>
      </w:tr>
      <w:tr w14:paraId="6999E3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B9BDB12">
            <w:pPr>
              <w:jc w:val="left"/>
              <w:rPr>
                <w:rFonts w:ascii="宋体"/>
                <w:sz w:val="24"/>
                <w:szCs w:val="24"/>
              </w:rPr>
            </w:pPr>
          </w:p>
        </w:tc>
        <w:tc>
          <w:tcPr>
            <w:tcW w:w="0" w:type="auto"/>
            <w:shd w:val="clear" w:color="auto" w:fill="auto"/>
            <w:vAlign w:val="center"/>
          </w:tcPr>
          <w:p w14:paraId="2D2E5D86">
            <w:pPr>
              <w:pStyle w:val="6"/>
              <w:widowControl/>
              <w:spacing w:beforeAutospacing="0" w:afterAutospacing="0" w:line="324" w:lineRule="atLeast"/>
            </w:pPr>
            <w:r>
              <w:t>Audio Format</w:t>
            </w:r>
          </w:p>
        </w:tc>
        <w:tc>
          <w:tcPr>
            <w:tcW w:w="0" w:type="auto"/>
            <w:shd w:val="clear" w:color="auto" w:fill="auto"/>
            <w:vAlign w:val="center"/>
          </w:tcPr>
          <w:p w14:paraId="700F0060">
            <w:pPr>
              <w:pStyle w:val="6"/>
              <w:widowControl/>
              <w:spacing w:beforeAutospacing="0" w:afterAutospacing="0" w:line="324" w:lineRule="atLeast"/>
            </w:pPr>
            <w:r>
              <w:t>MPEG 1 Layer2, LC-AAC, HE-AAC</w:t>
            </w:r>
          </w:p>
        </w:tc>
      </w:tr>
      <w:tr w14:paraId="61DA49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6667FA0">
            <w:pPr>
              <w:jc w:val="left"/>
              <w:rPr>
                <w:rFonts w:ascii="宋体"/>
                <w:sz w:val="24"/>
                <w:szCs w:val="24"/>
              </w:rPr>
            </w:pPr>
          </w:p>
        </w:tc>
        <w:tc>
          <w:tcPr>
            <w:tcW w:w="0" w:type="auto"/>
            <w:shd w:val="clear" w:color="auto" w:fill="auto"/>
            <w:vAlign w:val="center"/>
          </w:tcPr>
          <w:p w14:paraId="01EFE335">
            <w:pPr>
              <w:pStyle w:val="6"/>
              <w:widowControl/>
              <w:spacing w:beforeAutospacing="0" w:afterAutospacing="0" w:line="324" w:lineRule="atLeast"/>
            </w:pPr>
            <w:r>
              <w:t>Audio Channel</w:t>
            </w:r>
          </w:p>
        </w:tc>
        <w:tc>
          <w:tcPr>
            <w:tcW w:w="0" w:type="auto"/>
            <w:shd w:val="clear" w:color="auto" w:fill="auto"/>
            <w:vAlign w:val="center"/>
          </w:tcPr>
          <w:p w14:paraId="09827894">
            <w:pPr>
              <w:pStyle w:val="6"/>
              <w:widowControl/>
              <w:spacing w:beforeAutospacing="0" w:afterAutospacing="0" w:line="324" w:lineRule="atLeast"/>
            </w:pPr>
            <w:r>
              <w:t>One stereo audio embedded in each port</w:t>
            </w:r>
          </w:p>
        </w:tc>
      </w:tr>
      <w:tr w14:paraId="3D628D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D674D90">
            <w:pPr>
              <w:pStyle w:val="6"/>
              <w:widowControl/>
              <w:spacing w:beforeAutospacing="0" w:afterAutospacing="0" w:line="324" w:lineRule="atLeast"/>
            </w:pPr>
            <w:r>
              <w:t>Output</w:t>
            </w:r>
          </w:p>
        </w:tc>
        <w:tc>
          <w:tcPr>
            <w:tcW w:w="0" w:type="auto"/>
            <w:gridSpan w:val="2"/>
            <w:shd w:val="clear" w:color="auto" w:fill="auto"/>
            <w:vAlign w:val="center"/>
          </w:tcPr>
          <w:p w14:paraId="3BAF70D0">
            <w:pPr>
              <w:pStyle w:val="6"/>
              <w:widowControl/>
              <w:spacing w:beforeAutospacing="0" w:afterAutospacing="0" w:line="324" w:lineRule="atLeast"/>
            </w:pPr>
            <w:r>
              <w:t>4 HDMI decoding out</w:t>
            </w:r>
          </w:p>
        </w:tc>
      </w:tr>
      <w:tr w14:paraId="496077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BB1FF27">
            <w:pPr>
              <w:pStyle w:val="6"/>
              <w:widowControl/>
              <w:spacing w:beforeAutospacing="0" w:afterAutospacing="0" w:line="324" w:lineRule="atLeast"/>
            </w:pPr>
            <w:r>
              <w:t>General</w:t>
            </w:r>
          </w:p>
        </w:tc>
        <w:tc>
          <w:tcPr>
            <w:tcW w:w="0" w:type="auto"/>
            <w:shd w:val="clear" w:color="auto" w:fill="auto"/>
            <w:vAlign w:val="center"/>
          </w:tcPr>
          <w:p w14:paraId="1B8AD044">
            <w:pPr>
              <w:pStyle w:val="6"/>
              <w:widowControl/>
              <w:spacing w:beforeAutospacing="0" w:afterAutospacing="0" w:line="324" w:lineRule="atLeast"/>
            </w:pPr>
            <w:r>
              <w:t>Operation</w:t>
            </w:r>
          </w:p>
        </w:tc>
        <w:tc>
          <w:tcPr>
            <w:tcW w:w="0" w:type="auto"/>
            <w:shd w:val="clear" w:color="auto" w:fill="auto"/>
            <w:vAlign w:val="center"/>
          </w:tcPr>
          <w:p w14:paraId="197C7013">
            <w:pPr>
              <w:pStyle w:val="6"/>
              <w:widowControl/>
              <w:spacing w:beforeAutospacing="0" w:afterAutospacing="0" w:line="324" w:lineRule="atLeast"/>
            </w:pPr>
            <w:r>
              <w:t>Web-server</w:t>
            </w:r>
          </w:p>
        </w:tc>
      </w:tr>
      <w:tr w14:paraId="0DCA7D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A6A94B4">
            <w:pPr>
              <w:jc w:val="left"/>
              <w:rPr>
                <w:rFonts w:ascii="宋体"/>
                <w:sz w:val="24"/>
                <w:szCs w:val="24"/>
              </w:rPr>
            </w:pPr>
          </w:p>
        </w:tc>
        <w:tc>
          <w:tcPr>
            <w:tcW w:w="0" w:type="auto"/>
            <w:shd w:val="clear" w:color="auto" w:fill="auto"/>
            <w:vAlign w:val="center"/>
          </w:tcPr>
          <w:p w14:paraId="1237CAC2">
            <w:pPr>
              <w:pStyle w:val="6"/>
              <w:widowControl/>
              <w:spacing w:beforeAutospacing="0" w:afterAutospacing="0" w:line="324" w:lineRule="atLeast"/>
            </w:pPr>
            <w:r>
              <w:t>Language</w:t>
            </w:r>
          </w:p>
        </w:tc>
        <w:tc>
          <w:tcPr>
            <w:tcW w:w="0" w:type="auto"/>
            <w:shd w:val="clear" w:color="auto" w:fill="auto"/>
            <w:vAlign w:val="center"/>
          </w:tcPr>
          <w:p w14:paraId="3DC380A1">
            <w:pPr>
              <w:pStyle w:val="6"/>
              <w:widowControl/>
              <w:spacing w:beforeAutospacing="0" w:afterAutospacing="0" w:line="324" w:lineRule="atLeast"/>
            </w:pPr>
            <w:r>
              <w:t>Chinese/English</w:t>
            </w:r>
          </w:p>
        </w:tc>
      </w:tr>
      <w:tr w14:paraId="134652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2C4F39C">
            <w:pPr>
              <w:jc w:val="left"/>
              <w:rPr>
                <w:rFonts w:ascii="宋体"/>
                <w:sz w:val="24"/>
                <w:szCs w:val="24"/>
              </w:rPr>
            </w:pPr>
          </w:p>
        </w:tc>
        <w:tc>
          <w:tcPr>
            <w:tcW w:w="0" w:type="auto"/>
            <w:shd w:val="clear" w:color="auto" w:fill="auto"/>
            <w:vAlign w:val="center"/>
          </w:tcPr>
          <w:p w14:paraId="79BBFCF9">
            <w:pPr>
              <w:pStyle w:val="6"/>
              <w:widowControl/>
              <w:spacing w:beforeAutospacing="0" w:afterAutospacing="0" w:line="324" w:lineRule="atLeast"/>
            </w:pPr>
            <w:r>
              <w:t>Dimension</w:t>
            </w:r>
          </w:p>
        </w:tc>
        <w:tc>
          <w:tcPr>
            <w:tcW w:w="0" w:type="auto"/>
            <w:shd w:val="clear" w:color="auto" w:fill="auto"/>
            <w:vAlign w:val="center"/>
          </w:tcPr>
          <w:p w14:paraId="2EE7F1BD">
            <w:pPr>
              <w:pStyle w:val="6"/>
              <w:widowControl/>
              <w:spacing w:beforeAutospacing="0" w:afterAutospacing="0" w:line="324" w:lineRule="atLeast"/>
            </w:pPr>
            <w:r>
              <w:t>328 mm×482 mm×45mm (LxWxH)</w:t>
            </w:r>
          </w:p>
        </w:tc>
      </w:tr>
      <w:tr w14:paraId="3E6426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40A5AF9">
            <w:pPr>
              <w:jc w:val="left"/>
              <w:rPr>
                <w:rFonts w:ascii="宋体"/>
                <w:sz w:val="24"/>
                <w:szCs w:val="24"/>
              </w:rPr>
            </w:pPr>
          </w:p>
        </w:tc>
        <w:tc>
          <w:tcPr>
            <w:tcW w:w="0" w:type="auto"/>
            <w:shd w:val="clear" w:color="auto" w:fill="auto"/>
            <w:vAlign w:val="center"/>
          </w:tcPr>
          <w:p w14:paraId="4660FAC4">
            <w:pPr>
              <w:pStyle w:val="6"/>
              <w:widowControl/>
              <w:spacing w:beforeAutospacing="0" w:afterAutospacing="0" w:line="324" w:lineRule="atLeast"/>
            </w:pPr>
            <w:r>
              <w:t>Environment</w:t>
            </w:r>
          </w:p>
        </w:tc>
        <w:tc>
          <w:tcPr>
            <w:tcW w:w="0" w:type="auto"/>
            <w:shd w:val="clear" w:color="auto" w:fill="auto"/>
            <w:vAlign w:val="center"/>
          </w:tcPr>
          <w:p w14:paraId="319BB33C">
            <w:pPr>
              <w:pStyle w:val="6"/>
              <w:widowControl/>
              <w:spacing w:beforeAutospacing="0" w:afterAutospacing="0" w:line="324" w:lineRule="atLeast"/>
            </w:pPr>
            <w:r>
              <w:t>0~45℃(Work)；-20~80℃(Storage)</w:t>
            </w:r>
          </w:p>
        </w:tc>
      </w:tr>
      <w:tr w14:paraId="34E377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481065B">
            <w:pPr>
              <w:jc w:val="left"/>
              <w:rPr>
                <w:rFonts w:ascii="宋体"/>
                <w:sz w:val="24"/>
                <w:szCs w:val="24"/>
              </w:rPr>
            </w:pPr>
          </w:p>
        </w:tc>
        <w:tc>
          <w:tcPr>
            <w:tcW w:w="0" w:type="auto"/>
            <w:shd w:val="clear" w:color="auto" w:fill="auto"/>
            <w:vAlign w:val="center"/>
          </w:tcPr>
          <w:p w14:paraId="1CEBD17C">
            <w:pPr>
              <w:pStyle w:val="6"/>
              <w:widowControl/>
              <w:spacing w:beforeAutospacing="0" w:afterAutospacing="0" w:line="324" w:lineRule="atLeast"/>
            </w:pPr>
            <w:r>
              <w:t>Power Supply</w:t>
            </w:r>
          </w:p>
        </w:tc>
        <w:tc>
          <w:tcPr>
            <w:tcW w:w="0" w:type="auto"/>
            <w:shd w:val="clear" w:color="auto" w:fill="auto"/>
            <w:vAlign w:val="center"/>
          </w:tcPr>
          <w:p w14:paraId="7C54C9BC">
            <w:pPr>
              <w:pStyle w:val="6"/>
              <w:widowControl/>
              <w:spacing w:beforeAutospacing="0" w:afterAutospacing="0" w:line="324" w:lineRule="atLeast"/>
            </w:pPr>
            <w:r>
              <w:t>220VAC±10%，50Hz</w:t>
            </w:r>
          </w:p>
        </w:tc>
      </w:tr>
      <w:tr w14:paraId="0D661E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B9EA42F">
            <w:pPr>
              <w:jc w:val="left"/>
              <w:rPr>
                <w:rFonts w:ascii="宋体"/>
                <w:sz w:val="24"/>
                <w:szCs w:val="24"/>
              </w:rPr>
            </w:pPr>
          </w:p>
        </w:tc>
        <w:tc>
          <w:tcPr>
            <w:tcW w:w="0" w:type="auto"/>
            <w:shd w:val="clear" w:color="auto" w:fill="auto"/>
            <w:vAlign w:val="center"/>
          </w:tcPr>
          <w:p w14:paraId="79B7A954">
            <w:pPr>
              <w:pStyle w:val="6"/>
              <w:widowControl/>
              <w:spacing w:beforeAutospacing="0" w:afterAutospacing="0" w:line="324" w:lineRule="atLeast"/>
            </w:pPr>
            <w:r>
              <w:t>Consumption</w:t>
            </w:r>
          </w:p>
        </w:tc>
        <w:tc>
          <w:tcPr>
            <w:tcW w:w="0" w:type="auto"/>
            <w:shd w:val="clear" w:color="auto" w:fill="auto"/>
            <w:vAlign w:val="center"/>
          </w:tcPr>
          <w:p w14:paraId="7C034533">
            <w:pPr>
              <w:pStyle w:val="6"/>
              <w:widowControl/>
              <w:spacing w:beforeAutospacing="0" w:afterAutospacing="0" w:line="324" w:lineRule="atLeast"/>
            </w:pPr>
            <w:r>
              <w:t>&lt;25W</w:t>
            </w:r>
          </w:p>
        </w:tc>
      </w:tr>
    </w:tbl>
    <w:p w14:paraId="750BC080">
      <w:pPr>
        <w:pStyle w:val="6"/>
        <w:widowControl/>
        <w:spacing w:beforeAutospacing="0" w:afterAutospacing="0" w:line="324" w:lineRule="atLeast"/>
      </w:pPr>
      <w:r>
        <w:rPr>
          <w:rFonts w:ascii="Verdana" w:hAnsi="Verdana" w:cs="Verdana"/>
          <w:color w:val="333333"/>
          <w:sz w:val="18"/>
          <w:szCs w:val="18"/>
          <w:shd w:val="clear" w:color="auto" w:fill="FEFCFD"/>
        </w:rPr>
        <w:t> </w:t>
      </w:r>
    </w:p>
    <w:p w14:paraId="4941DAD9">
      <w:pPr>
        <w:widowControl/>
        <w:shd w:val="clear" w:color="auto" w:fill="F2F2F4"/>
        <w:jc w:val="left"/>
        <w:rPr>
          <w:rFonts w:ascii="Verdana" w:hAnsi="Verdana" w:cs="Verdana"/>
          <w:color w:val="333333"/>
          <w:sz w:val="18"/>
          <w:szCs w:val="18"/>
        </w:rPr>
      </w:pPr>
    </w:p>
    <w:p w14:paraId="172E2F77">
      <w:pPr>
        <w:rPr>
          <w:rFonts w:ascii="Verdana" w:hAnsi="Verdana" w:cs="Verdana"/>
          <w:color w:val="000000"/>
          <w:sz w:val="28"/>
        </w:rPr>
      </w:pPr>
    </w:p>
    <w:p w14:paraId="5EDCFB0D">
      <w:pPr>
        <w:rPr>
          <w:rFonts w:ascii="Verdana" w:hAnsi="Verdana" w:cs="Verdana"/>
          <w:b/>
          <w:color w:val="000000"/>
          <w:sz w:val="22"/>
        </w:rPr>
      </w:pPr>
      <w:r>
        <w:rPr>
          <w:rFonts w:hint="eastAsia" w:ascii="Verdana" w:hAnsi="Verdana" w:cs="Verdana"/>
          <w:b/>
          <w:color w:val="000000"/>
          <w:sz w:val="22"/>
        </w:rPr>
        <w:t>About Us</w:t>
      </w:r>
    </w:p>
    <w:p w14:paraId="17A91ADB">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897BF7A">
      <w:pPr>
        <w:rPr>
          <w:rFonts w:ascii="Verdana" w:hAnsi="Verdana" w:cs="Verdana"/>
          <w:color w:val="000000"/>
          <w:sz w:val="18"/>
        </w:rPr>
      </w:pPr>
    </w:p>
    <w:p w14:paraId="1CA43030">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19B5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C0214B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60582">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55CA1"/>
    <w:rsid w:val="00AE759F"/>
    <w:rsid w:val="00AF7C10"/>
    <w:rsid w:val="00B11FEF"/>
    <w:rsid w:val="00B4381C"/>
    <w:rsid w:val="00B539FF"/>
    <w:rsid w:val="00B56E04"/>
    <w:rsid w:val="00BD4043"/>
    <w:rsid w:val="00C44FAF"/>
    <w:rsid w:val="00D24477"/>
    <w:rsid w:val="00EF0CEB"/>
    <w:rsid w:val="00F268A0"/>
    <w:rsid w:val="00F714FF"/>
    <w:rsid w:val="00F7593F"/>
    <w:rsid w:val="00FC60FC"/>
    <w:rsid w:val="033D434A"/>
    <w:rsid w:val="03B472D3"/>
    <w:rsid w:val="0A680B1B"/>
    <w:rsid w:val="0E714EC9"/>
    <w:rsid w:val="0F145750"/>
    <w:rsid w:val="0FC87CEA"/>
    <w:rsid w:val="101C4557"/>
    <w:rsid w:val="117856AB"/>
    <w:rsid w:val="15186772"/>
    <w:rsid w:val="15C25510"/>
    <w:rsid w:val="18AE427D"/>
    <w:rsid w:val="18E81EA3"/>
    <w:rsid w:val="1B974A15"/>
    <w:rsid w:val="1CDC4CA0"/>
    <w:rsid w:val="1D356F23"/>
    <w:rsid w:val="1FCC39C5"/>
    <w:rsid w:val="20F61905"/>
    <w:rsid w:val="2199682E"/>
    <w:rsid w:val="239E3C7B"/>
    <w:rsid w:val="27B55639"/>
    <w:rsid w:val="2A752F8B"/>
    <w:rsid w:val="2C665CEA"/>
    <w:rsid w:val="2E0F6BE8"/>
    <w:rsid w:val="314F3E41"/>
    <w:rsid w:val="34646832"/>
    <w:rsid w:val="3B533162"/>
    <w:rsid w:val="45872050"/>
    <w:rsid w:val="478E224E"/>
    <w:rsid w:val="485E04E5"/>
    <w:rsid w:val="487316FE"/>
    <w:rsid w:val="49B75FAC"/>
    <w:rsid w:val="4E4A4BF6"/>
    <w:rsid w:val="4F8D25ED"/>
    <w:rsid w:val="51AD130D"/>
    <w:rsid w:val="540A3FAB"/>
    <w:rsid w:val="562E484B"/>
    <w:rsid w:val="56834992"/>
    <w:rsid w:val="5930748A"/>
    <w:rsid w:val="59933671"/>
    <w:rsid w:val="5AA83521"/>
    <w:rsid w:val="5EEA5249"/>
    <w:rsid w:val="602B3F57"/>
    <w:rsid w:val="609213A6"/>
    <w:rsid w:val="616A55AD"/>
    <w:rsid w:val="61BA6334"/>
    <w:rsid w:val="63C27F07"/>
    <w:rsid w:val="64D91698"/>
    <w:rsid w:val="68AD6386"/>
    <w:rsid w:val="6D7A6503"/>
    <w:rsid w:val="70757613"/>
    <w:rsid w:val="70B756B4"/>
    <w:rsid w:val="73270F88"/>
    <w:rsid w:val="74455F31"/>
    <w:rsid w:val="7540100C"/>
    <w:rsid w:val="77935A18"/>
    <w:rsid w:val="78972148"/>
    <w:rsid w:val="7B8E7427"/>
    <w:rsid w:val="7E1F4CB0"/>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Decoder/NDS3714A/3EEECN_20230308103036.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144</Words>
  <Characters>921</Characters>
  <Lines>13</Lines>
  <Paragraphs>3</Paragraphs>
  <TotalTime>27</TotalTime>
  <ScaleCrop>false</ScaleCrop>
  <LinksUpToDate>false</LinksUpToDate>
  <CharactersWithSpaces>1059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2025-08-20T03:41:58Z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